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445AE" w14:paraId="3BA9531E" w14:textId="77777777">
        <w:tblPrEx>
          <w:tblCellMar>
            <w:top w:w="0" w:type="dxa"/>
            <w:bottom w:w="0" w:type="dxa"/>
          </w:tblCellMar>
        </w:tblPrEx>
        <w:trPr>
          <w:tblCellSpacing w:w="60" w:type="dxa"/>
        </w:trPr>
        <w:tc>
          <w:tcPr>
            <w:tcW w:w="1200" w:type="pct"/>
            <w:shd w:val="clear" w:color="auto" w:fill="E7F0F9"/>
          </w:tcPr>
          <w:p w14:paraId="4E3AFBB9" w14:textId="77777777" w:rsidR="00C445AE" w:rsidRDefault="00000000" w:rsidP="00742AC7">
            <w:pPr>
              <w:spacing w:after="0" w:line="240" w:lineRule="auto"/>
              <w:jc w:val="both"/>
            </w:pPr>
            <w:r>
              <w:rPr>
                <w:b/>
              </w:rPr>
              <w:t>RKP broj</w:t>
            </w:r>
          </w:p>
        </w:tc>
        <w:tc>
          <w:tcPr>
            <w:tcW w:w="0" w:type="auto"/>
            <w:shd w:val="clear" w:color="auto" w:fill="E7F0F9"/>
          </w:tcPr>
          <w:p w14:paraId="47D7C4E5" w14:textId="77777777" w:rsidR="00C445AE" w:rsidRDefault="00000000" w:rsidP="00742AC7">
            <w:pPr>
              <w:spacing w:after="0" w:line="240" w:lineRule="auto"/>
              <w:jc w:val="both"/>
            </w:pPr>
            <w:r>
              <w:t>36209</w:t>
            </w:r>
          </w:p>
        </w:tc>
      </w:tr>
      <w:tr w:rsidR="00C445AE" w14:paraId="79EC8683" w14:textId="77777777">
        <w:tblPrEx>
          <w:tblCellMar>
            <w:top w:w="0" w:type="dxa"/>
            <w:bottom w:w="0" w:type="dxa"/>
          </w:tblCellMar>
        </w:tblPrEx>
        <w:trPr>
          <w:tblCellSpacing w:w="60" w:type="dxa"/>
        </w:trPr>
        <w:tc>
          <w:tcPr>
            <w:tcW w:w="1200" w:type="pct"/>
            <w:shd w:val="clear" w:color="auto" w:fill="E7F0F9"/>
          </w:tcPr>
          <w:p w14:paraId="69E67C23" w14:textId="77777777" w:rsidR="00C445AE" w:rsidRDefault="00000000" w:rsidP="00742AC7">
            <w:pPr>
              <w:spacing w:after="0" w:line="240" w:lineRule="auto"/>
              <w:jc w:val="both"/>
            </w:pPr>
            <w:r>
              <w:rPr>
                <w:b/>
              </w:rPr>
              <w:t>Naziv obveznika</w:t>
            </w:r>
          </w:p>
        </w:tc>
        <w:tc>
          <w:tcPr>
            <w:tcW w:w="0" w:type="auto"/>
            <w:shd w:val="clear" w:color="auto" w:fill="E7F0F9"/>
          </w:tcPr>
          <w:p w14:paraId="4A354D8A" w14:textId="77777777" w:rsidR="00C445AE" w:rsidRDefault="00000000" w:rsidP="00742AC7">
            <w:pPr>
              <w:spacing w:after="0" w:line="240" w:lineRule="auto"/>
              <w:jc w:val="both"/>
            </w:pPr>
            <w:r>
              <w:t>OPĆINA FAŽANA</w:t>
            </w:r>
          </w:p>
        </w:tc>
      </w:tr>
      <w:tr w:rsidR="00C445AE" w14:paraId="69D87778" w14:textId="77777777">
        <w:tblPrEx>
          <w:tblCellMar>
            <w:top w:w="0" w:type="dxa"/>
            <w:bottom w:w="0" w:type="dxa"/>
          </w:tblCellMar>
        </w:tblPrEx>
        <w:trPr>
          <w:tblCellSpacing w:w="60" w:type="dxa"/>
        </w:trPr>
        <w:tc>
          <w:tcPr>
            <w:tcW w:w="1200" w:type="pct"/>
            <w:shd w:val="clear" w:color="auto" w:fill="E7F0F9"/>
          </w:tcPr>
          <w:p w14:paraId="01F15890" w14:textId="77777777" w:rsidR="00C445AE" w:rsidRDefault="00000000" w:rsidP="00742AC7">
            <w:pPr>
              <w:spacing w:after="0" w:line="240" w:lineRule="auto"/>
              <w:jc w:val="both"/>
            </w:pPr>
            <w:r>
              <w:rPr>
                <w:b/>
              </w:rPr>
              <w:t>Razina</w:t>
            </w:r>
          </w:p>
        </w:tc>
        <w:tc>
          <w:tcPr>
            <w:tcW w:w="0" w:type="auto"/>
            <w:shd w:val="clear" w:color="auto" w:fill="E7F0F9"/>
          </w:tcPr>
          <w:p w14:paraId="22DF414A" w14:textId="77777777" w:rsidR="00C445AE" w:rsidRDefault="00000000" w:rsidP="00742AC7">
            <w:pPr>
              <w:spacing w:after="0" w:line="240" w:lineRule="auto"/>
              <w:jc w:val="both"/>
            </w:pPr>
            <w:r>
              <w:t>22</w:t>
            </w:r>
          </w:p>
        </w:tc>
      </w:tr>
    </w:tbl>
    <w:p w14:paraId="306C214B" w14:textId="77777777" w:rsidR="00C445AE" w:rsidRDefault="00000000" w:rsidP="00742AC7">
      <w:pPr>
        <w:jc w:val="both"/>
      </w:pPr>
      <w:r>
        <w:br/>
      </w:r>
    </w:p>
    <w:p w14:paraId="3F4606E6" w14:textId="77777777" w:rsidR="00C445AE" w:rsidRDefault="00000000" w:rsidP="00742AC7">
      <w:pPr>
        <w:spacing w:line="240" w:lineRule="auto"/>
        <w:jc w:val="both"/>
      </w:pPr>
      <w:r>
        <w:rPr>
          <w:b/>
          <w:sz w:val="28"/>
        </w:rPr>
        <w:t>BILJEŠKE UZ FINANCIJSKE IZVJEŠTAJE</w:t>
      </w:r>
    </w:p>
    <w:p w14:paraId="7C83786C" w14:textId="77777777" w:rsidR="00C445AE" w:rsidRDefault="00000000" w:rsidP="00742AC7">
      <w:pPr>
        <w:spacing w:line="240" w:lineRule="auto"/>
        <w:jc w:val="both"/>
      </w:pPr>
      <w:r>
        <w:rPr>
          <w:b/>
          <w:sz w:val="28"/>
        </w:rPr>
        <w:t>ZA RAZDOBLJE</w:t>
      </w:r>
    </w:p>
    <w:p w14:paraId="5AAFC364" w14:textId="77777777" w:rsidR="00C445AE" w:rsidRDefault="00000000" w:rsidP="00742AC7">
      <w:pPr>
        <w:spacing w:line="240" w:lineRule="auto"/>
        <w:jc w:val="both"/>
      </w:pPr>
      <w:r>
        <w:rPr>
          <w:b/>
          <w:sz w:val="28"/>
        </w:rPr>
        <w:t>I - VI 2026.</w:t>
      </w:r>
    </w:p>
    <w:p w14:paraId="23E7AC6B" w14:textId="77777777" w:rsidR="00C445AE" w:rsidRDefault="00C445AE" w:rsidP="00742AC7">
      <w:pPr>
        <w:jc w:val="both"/>
      </w:pPr>
    </w:p>
    <w:p w14:paraId="09CE5D97" w14:textId="77777777" w:rsidR="00C445AE" w:rsidRDefault="00000000" w:rsidP="00742AC7">
      <w:pPr>
        <w:keepNext/>
        <w:spacing w:line="240" w:lineRule="auto"/>
        <w:jc w:val="both"/>
      </w:pPr>
      <w:r>
        <w:rPr>
          <w:b/>
          <w:sz w:val="28"/>
        </w:rPr>
        <w:t>Izvještaj o prihodima i rashodima, primicima i izdacima</w:t>
      </w:r>
    </w:p>
    <w:p w14:paraId="4CE91FBA" w14:textId="77777777" w:rsidR="00C445AE" w:rsidRDefault="00000000" w:rsidP="00742AC7">
      <w:pPr>
        <w:keepNext/>
        <w:spacing w:line="240" w:lineRule="auto"/>
        <w:jc w:val="both"/>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42926D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73136A"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BC921D"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83E3CC1"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6AD5FE6"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444E5B4"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22CFA7C" w14:textId="77777777" w:rsidR="00C445AE" w:rsidRDefault="00000000" w:rsidP="00742AC7">
            <w:pPr>
              <w:keepNext/>
              <w:keepLines/>
              <w:spacing w:after="0" w:line="240" w:lineRule="auto"/>
              <w:jc w:val="both"/>
            </w:pPr>
            <w:r>
              <w:rPr>
                <w:b/>
                <w:sz w:val="18"/>
              </w:rPr>
              <w:t>Indeks (%)</w:t>
            </w:r>
          </w:p>
        </w:tc>
      </w:tr>
      <w:tr w:rsidR="00C445AE" w14:paraId="764283CF" w14:textId="77777777">
        <w:tblPrEx>
          <w:tblCellMar>
            <w:top w:w="0" w:type="dxa"/>
            <w:bottom w:w="0" w:type="dxa"/>
          </w:tblCellMar>
        </w:tblPrEx>
        <w:trPr>
          <w:cantSplit/>
          <w:trHeight w:val="560"/>
        </w:trPr>
        <w:tc>
          <w:tcPr>
            <w:tcW w:w="700" w:type="dxa"/>
            <w:tcMar>
              <w:top w:w="0" w:type="dxa"/>
              <w:bottom w:w="0" w:type="dxa"/>
            </w:tcMar>
            <w:vAlign w:val="center"/>
          </w:tcPr>
          <w:p w14:paraId="068FA86A" w14:textId="77777777" w:rsidR="00C445AE" w:rsidRDefault="00000000" w:rsidP="00742AC7">
            <w:pPr>
              <w:keepNext/>
              <w:keepLines/>
              <w:spacing w:after="0" w:line="240" w:lineRule="auto"/>
              <w:jc w:val="both"/>
            </w:pPr>
            <w:r>
              <w:rPr>
                <w:sz w:val="18"/>
              </w:rPr>
              <w:t>6</w:t>
            </w:r>
          </w:p>
        </w:tc>
        <w:tc>
          <w:tcPr>
            <w:tcW w:w="3180" w:type="dxa"/>
            <w:tcMar>
              <w:top w:w="0" w:type="dxa"/>
              <w:bottom w:w="0" w:type="dxa"/>
            </w:tcMar>
            <w:vAlign w:val="center"/>
          </w:tcPr>
          <w:p w14:paraId="503CAE64" w14:textId="77777777" w:rsidR="00C445AE" w:rsidRDefault="00000000" w:rsidP="00742AC7">
            <w:pPr>
              <w:keepNext/>
              <w:keepLines/>
              <w:spacing w:after="0" w:line="240" w:lineRule="auto"/>
              <w:jc w:val="both"/>
            </w:pPr>
            <w:r>
              <w:rPr>
                <w:sz w:val="18"/>
              </w:rPr>
              <w:t>PRIHODI POSLOVANJA (šifre 61+62+63+64+65+66+67+68)</w:t>
            </w:r>
          </w:p>
        </w:tc>
        <w:tc>
          <w:tcPr>
            <w:tcW w:w="700" w:type="dxa"/>
            <w:tcMar>
              <w:top w:w="0" w:type="dxa"/>
              <w:bottom w:w="0" w:type="dxa"/>
            </w:tcMar>
            <w:vAlign w:val="center"/>
          </w:tcPr>
          <w:p w14:paraId="42FB21E6" w14:textId="77777777" w:rsidR="00C445AE" w:rsidRDefault="00000000" w:rsidP="00742AC7">
            <w:pPr>
              <w:keepNext/>
              <w:keepLines/>
              <w:spacing w:after="0" w:line="240" w:lineRule="auto"/>
              <w:jc w:val="both"/>
            </w:pPr>
            <w:r>
              <w:rPr>
                <w:sz w:val="18"/>
              </w:rPr>
              <w:t>6</w:t>
            </w:r>
          </w:p>
        </w:tc>
        <w:tc>
          <w:tcPr>
            <w:tcW w:w="1860" w:type="dxa"/>
            <w:tcMar>
              <w:top w:w="0" w:type="dxa"/>
              <w:bottom w:w="0" w:type="dxa"/>
            </w:tcMar>
            <w:vAlign w:val="center"/>
          </w:tcPr>
          <w:p w14:paraId="375039CA" w14:textId="77777777" w:rsidR="00C445AE" w:rsidRDefault="00000000" w:rsidP="00742AC7">
            <w:pPr>
              <w:keepNext/>
              <w:keepLines/>
              <w:spacing w:after="0" w:line="240" w:lineRule="auto"/>
              <w:jc w:val="both"/>
            </w:pPr>
            <w:r>
              <w:rPr>
                <w:sz w:val="18"/>
              </w:rPr>
              <w:t>2.532.996,14</w:t>
            </w:r>
          </w:p>
        </w:tc>
        <w:tc>
          <w:tcPr>
            <w:tcW w:w="1860" w:type="dxa"/>
            <w:tcMar>
              <w:top w:w="0" w:type="dxa"/>
              <w:bottom w:w="0" w:type="dxa"/>
            </w:tcMar>
            <w:vAlign w:val="center"/>
          </w:tcPr>
          <w:p w14:paraId="1BC5CDEE" w14:textId="77777777" w:rsidR="00C445AE" w:rsidRDefault="00000000" w:rsidP="00742AC7">
            <w:pPr>
              <w:keepNext/>
              <w:keepLines/>
              <w:spacing w:after="0" w:line="240" w:lineRule="auto"/>
              <w:jc w:val="both"/>
            </w:pPr>
            <w:r>
              <w:rPr>
                <w:sz w:val="18"/>
              </w:rPr>
              <w:t>3.253.460,15</w:t>
            </w:r>
          </w:p>
        </w:tc>
        <w:tc>
          <w:tcPr>
            <w:tcW w:w="700" w:type="dxa"/>
            <w:tcMar>
              <w:top w:w="0" w:type="dxa"/>
              <w:bottom w:w="0" w:type="dxa"/>
            </w:tcMar>
            <w:vAlign w:val="center"/>
          </w:tcPr>
          <w:p w14:paraId="0E79EB3F" w14:textId="77777777" w:rsidR="00C445AE" w:rsidRDefault="00000000" w:rsidP="00742AC7">
            <w:pPr>
              <w:keepNext/>
              <w:keepLines/>
              <w:spacing w:after="0" w:line="240" w:lineRule="auto"/>
              <w:jc w:val="both"/>
            </w:pPr>
            <w:r>
              <w:rPr>
                <w:sz w:val="18"/>
              </w:rPr>
              <w:t>128,4</w:t>
            </w:r>
          </w:p>
        </w:tc>
      </w:tr>
      <w:tr w:rsidR="00C445AE" w14:paraId="706D8BF1" w14:textId="77777777">
        <w:tblPrEx>
          <w:tblCellMar>
            <w:top w:w="0" w:type="dxa"/>
            <w:bottom w:w="0" w:type="dxa"/>
          </w:tblCellMar>
        </w:tblPrEx>
        <w:trPr>
          <w:cantSplit/>
          <w:trHeight w:val="560"/>
        </w:trPr>
        <w:tc>
          <w:tcPr>
            <w:tcW w:w="700" w:type="dxa"/>
            <w:tcMar>
              <w:top w:w="0" w:type="dxa"/>
              <w:bottom w:w="0" w:type="dxa"/>
            </w:tcMar>
            <w:vAlign w:val="center"/>
          </w:tcPr>
          <w:p w14:paraId="70C797AE" w14:textId="77777777" w:rsidR="00C445AE" w:rsidRDefault="00000000" w:rsidP="00742AC7">
            <w:pPr>
              <w:keepNext/>
              <w:keepLines/>
              <w:spacing w:after="0" w:line="240" w:lineRule="auto"/>
              <w:jc w:val="both"/>
            </w:pPr>
            <w:r>
              <w:rPr>
                <w:sz w:val="18"/>
              </w:rPr>
              <w:t>3</w:t>
            </w:r>
          </w:p>
        </w:tc>
        <w:tc>
          <w:tcPr>
            <w:tcW w:w="3180" w:type="dxa"/>
            <w:tcMar>
              <w:top w:w="0" w:type="dxa"/>
              <w:bottom w:w="0" w:type="dxa"/>
            </w:tcMar>
            <w:vAlign w:val="center"/>
          </w:tcPr>
          <w:p w14:paraId="3412D53D" w14:textId="77777777" w:rsidR="00C445AE" w:rsidRDefault="00000000" w:rsidP="00742AC7">
            <w:pPr>
              <w:keepNext/>
              <w:keepLines/>
              <w:spacing w:after="0" w:line="240" w:lineRule="auto"/>
              <w:jc w:val="both"/>
            </w:pPr>
            <w:r>
              <w:rPr>
                <w:sz w:val="18"/>
              </w:rPr>
              <w:t>RASHODI POSLOVANJA (šifre 31+32+34+35+36+37+38)</w:t>
            </w:r>
          </w:p>
        </w:tc>
        <w:tc>
          <w:tcPr>
            <w:tcW w:w="700" w:type="dxa"/>
            <w:tcMar>
              <w:top w:w="0" w:type="dxa"/>
              <w:bottom w:w="0" w:type="dxa"/>
            </w:tcMar>
            <w:vAlign w:val="center"/>
          </w:tcPr>
          <w:p w14:paraId="518B55B5" w14:textId="77777777" w:rsidR="00C445AE" w:rsidRDefault="00000000" w:rsidP="00742AC7">
            <w:pPr>
              <w:keepNext/>
              <w:keepLines/>
              <w:spacing w:after="0" w:line="240" w:lineRule="auto"/>
              <w:jc w:val="both"/>
            </w:pPr>
            <w:r>
              <w:rPr>
                <w:sz w:val="18"/>
              </w:rPr>
              <w:t>3</w:t>
            </w:r>
          </w:p>
        </w:tc>
        <w:tc>
          <w:tcPr>
            <w:tcW w:w="1860" w:type="dxa"/>
            <w:tcMar>
              <w:top w:w="0" w:type="dxa"/>
              <w:bottom w:w="0" w:type="dxa"/>
            </w:tcMar>
            <w:vAlign w:val="center"/>
          </w:tcPr>
          <w:p w14:paraId="6963E4B5" w14:textId="77777777" w:rsidR="00C445AE" w:rsidRDefault="00000000" w:rsidP="00742AC7">
            <w:pPr>
              <w:keepNext/>
              <w:keepLines/>
              <w:spacing w:after="0" w:line="240" w:lineRule="auto"/>
              <w:jc w:val="both"/>
            </w:pPr>
            <w:r>
              <w:rPr>
                <w:sz w:val="18"/>
              </w:rPr>
              <w:t>2.676.715,10</w:t>
            </w:r>
          </w:p>
        </w:tc>
        <w:tc>
          <w:tcPr>
            <w:tcW w:w="1860" w:type="dxa"/>
            <w:tcMar>
              <w:top w:w="0" w:type="dxa"/>
              <w:bottom w:w="0" w:type="dxa"/>
            </w:tcMar>
            <w:vAlign w:val="center"/>
          </w:tcPr>
          <w:p w14:paraId="3849D96F" w14:textId="77777777" w:rsidR="00C445AE" w:rsidRDefault="00000000" w:rsidP="00742AC7">
            <w:pPr>
              <w:keepNext/>
              <w:keepLines/>
              <w:spacing w:after="0" w:line="240" w:lineRule="auto"/>
              <w:jc w:val="both"/>
            </w:pPr>
            <w:r>
              <w:rPr>
                <w:sz w:val="18"/>
              </w:rPr>
              <w:t>2.592.848,04</w:t>
            </w:r>
          </w:p>
        </w:tc>
        <w:tc>
          <w:tcPr>
            <w:tcW w:w="700" w:type="dxa"/>
            <w:tcMar>
              <w:top w:w="0" w:type="dxa"/>
              <w:bottom w:w="0" w:type="dxa"/>
            </w:tcMar>
            <w:vAlign w:val="center"/>
          </w:tcPr>
          <w:p w14:paraId="04273D76" w14:textId="77777777" w:rsidR="00C445AE" w:rsidRDefault="00000000" w:rsidP="00742AC7">
            <w:pPr>
              <w:keepNext/>
              <w:keepLines/>
              <w:spacing w:after="0" w:line="240" w:lineRule="auto"/>
              <w:jc w:val="both"/>
            </w:pPr>
            <w:r>
              <w:rPr>
                <w:sz w:val="18"/>
              </w:rPr>
              <w:t>96,9</w:t>
            </w:r>
          </w:p>
        </w:tc>
      </w:tr>
      <w:tr w:rsidR="00C445AE" w14:paraId="0E36B0D3" w14:textId="77777777">
        <w:tblPrEx>
          <w:tblCellMar>
            <w:top w:w="0" w:type="dxa"/>
            <w:bottom w:w="0" w:type="dxa"/>
          </w:tblCellMar>
        </w:tblPrEx>
        <w:trPr>
          <w:cantSplit/>
          <w:trHeight w:val="560"/>
        </w:trPr>
        <w:tc>
          <w:tcPr>
            <w:tcW w:w="700" w:type="dxa"/>
            <w:tcMar>
              <w:top w:w="0" w:type="dxa"/>
              <w:bottom w:w="0" w:type="dxa"/>
            </w:tcMar>
            <w:vAlign w:val="center"/>
          </w:tcPr>
          <w:p w14:paraId="359E7F9B" w14:textId="77777777" w:rsidR="00C445AE" w:rsidRDefault="00C445AE" w:rsidP="00742AC7">
            <w:pPr>
              <w:keepNext/>
              <w:keepLines/>
              <w:spacing w:after="0" w:line="240" w:lineRule="auto"/>
              <w:jc w:val="both"/>
            </w:pPr>
          </w:p>
        </w:tc>
        <w:tc>
          <w:tcPr>
            <w:tcW w:w="3180" w:type="dxa"/>
            <w:tcMar>
              <w:top w:w="0" w:type="dxa"/>
              <w:bottom w:w="0" w:type="dxa"/>
            </w:tcMar>
            <w:vAlign w:val="center"/>
          </w:tcPr>
          <w:p w14:paraId="1C923C3F" w14:textId="77777777" w:rsidR="00C445AE" w:rsidRDefault="00000000" w:rsidP="00742AC7">
            <w:pPr>
              <w:keepNext/>
              <w:keepLines/>
              <w:spacing w:after="0" w:line="240" w:lineRule="auto"/>
              <w:jc w:val="both"/>
            </w:pPr>
            <w:r>
              <w:rPr>
                <w:b/>
                <w:sz w:val="18"/>
              </w:rPr>
              <w:t>VIŠAK PRIHODA POSLOVANJA (šifre 6-Z005)</w:t>
            </w:r>
          </w:p>
        </w:tc>
        <w:tc>
          <w:tcPr>
            <w:tcW w:w="700" w:type="dxa"/>
            <w:tcMar>
              <w:top w:w="0" w:type="dxa"/>
              <w:bottom w:w="0" w:type="dxa"/>
            </w:tcMar>
            <w:vAlign w:val="center"/>
          </w:tcPr>
          <w:p w14:paraId="311DF5AF" w14:textId="77777777" w:rsidR="00C445AE" w:rsidRDefault="00000000" w:rsidP="00742AC7">
            <w:pPr>
              <w:keepNext/>
              <w:keepLines/>
              <w:spacing w:after="0" w:line="240" w:lineRule="auto"/>
              <w:jc w:val="both"/>
            </w:pPr>
            <w:r>
              <w:rPr>
                <w:b/>
                <w:sz w:val="18"/>
              </w:rPr>
              <w:t>X001</w:t>
            </w:r>
          </w:p>
        </w:tc>
        <w:tc>
          <w:tcPr>
            <w:tcW w:w="1860" w:type="dxa"/>
            <w:tcMar>
              <w:top w:w="0" w:type="dxa"/>
              <w:bottom w:w="0" w:type="dxa"/>
            </w:tcMar>
            <w:vAlign w:val="center"/>
          </w:tcPr>
          <w:p w14:paraId="65670846" w14:textId="77777777" w:rsidR="00C445AE" w:rsidRDefault="00000000" w:rsidP="00742AC7">
            <w:pPr>
              <w:keepNext/>
              <w:keepLines/>
              <w:spacing w:after="0" w:line="240" w:lineRule="auto"/>
              <w:jc w:val="both"/>
            </w:pPr>
            <w:r>
              <w:rPr>
                <w:b/>
                <w:sz w:val="18"/>
              </w:rPr>
              <w:t>0,00</w:t>
            </w:r>
          </w:p>
        </w:tc>
        <w:tc>
          <w:tcPr>
            <w:tcW w:w="1860" w:type="dxa"/>
            <w:tcMar>
              <w:top w:w="0" w:type="dxa"/>
              <w:bottom w:w="0" w:type="dxa"/>
            </w:tcMar>
            <w:vAlign w:val="center"/>
          </w:tcPr>
          <w:p w14:paraId="3CB54D22" w14:textId="77777777" w:rsidR="00C445AE" w:rsidRDefault="00000000" w:rsidP="00742AC7">
            <w:pPr>
              <w:keepNext/>
              <w:keepLines/>
              <w:spacing w:after="0" w:line="240" w:lineRule="auto"/>
              <w:jc w:val="both"/>
            </w:pPr>
            <w:r>
              <w:rPr>
                <w:b/>
                <w:sz w:val="18"/>
              </w:rPr>
              <w:t>660.612,11</w:t>
            </w:r>
          </w:p>
        </w:tc>
        <w:tc>
          <w:tcPr>
            <w:tcW w:w="700" w:type="dxa"/>
            <w:tcMar>
              <w:top w:w="0" w:type="dxa"/>
              <w:bottom w:w="0" w:type="dxa"/>
            </w:tcMar>
            <w:vAlign w:val="center"/>
          </w:tcPr>
          <w:p w14:paraId="125CD3D1" w14:textId="77777777" w:rsidR="00C445AE" w:rsidRDefault="00000000" w:rsidP="00742AC7">
            <w:pPr>
              <w:keepNext/>
              <w:keepLines/>
              <w:spacing w:after="0" w:line="240" w:lineRule="auto"/>
              <w:jc w:val="both"/>
            </w:pPr>
            <w:r>
              <w:rPr>
                <w:b/>
                <w:sz w:val="18"/>
              </w:rPr>
              <w:t>-</w:t>
            </w:r>
          </w:p>
        </w:tc>
      </w:tr>
      <w:tr w:rsidR="00C445AE" w14:paraId="62BCF551" w14:textId="77777777">
        <w:tblPrEx>
          <w:tblCellMar>
            <w:top w:w="0" w:type="dxa"/>
            <w:bottom w:w="0" w:type="dxa"/>
          </w:tblCellMar>
        </w:tblPrEx>
        <w:trPr>
          <w:cantSplit/>
          <w:trHeight w:val="560"/>
        </w:trPr>
        <w:tc>
          <w:tcPr>
            <w:tcW w:w="700" w:type="dxa"/>
            <w:tcMar>
              <w:top w:w="0" w:type="dxa"/>
              <w:bottom w:w="0" w:type="dxa"/>
            </w:tcMar>
            <w:vAlign w:val="center"/>
          </w:tcPr>
          <w:p w14:paraId="632A5575" w14:textId="77777777" w:rsidR="00C445AE" w:rsidRDefault="00000000" w:rsidP="00742AC7">
            <w:pPr>
              <w:keepNext/>
              <w:keepLines/>
              <w:spacing w:after="0" w:line="240" w:lineRule="auto"/>
              <w:jc w:val="both"/>
            </w:pPr>
            <w:r>
              <w:rPr>
                <w:sz w:val="18"/>
              </w:rPr>
              <w:t>7</w:t>
            </w:r>
          </w:p>
        </w:tc>
        <w:tc>
          <w:tcPr>
            <w:tcW w:w="3180" w:type="dxa"/>
            <w:tcMar>
              <w:top w:w="0" w:type="dxa"/>
              <w:bottom w:w="0" w:type="dxa"/>
            </w:tcMar>
            <w:vAlign w:val="center"/>
          </w:tcPr>
          <w:p w14:paraId="6A1D5C4B" w14:textId="77777777" w:rsidR="00C445AE" w:rsidRDefault="00000000" w:rsidP="00742AC7">
            <w:pPr>
              <w:keepNext/>
              <w:keepLines/>
              <w:spacing w:after="0" w:line="240" w:lineRule="auto"/>
              <w:jc w:val="both"/>
            </w:pPr>
            <w:r>
              <w:rPr>
                <w:sz w:val="18"/>
              </w:rPr>
              <w:t>Prihodi od prodaje nefinancijske imovine (šifre 71+72+73+74)</w:t>
            </w:r>
          </w:p>
        </w:tc>
        <w:tc>
          <w:tcPr>
            <w:tcW w:w="700" w:type="dxa"/>
            <w:tcMar>
              <w:top w:w="0" w:type="dxa"/>
              <w:bottom w:w="0" w:type="dxa"/>
            </w:tcMar>
            <w:vAlign w:val="center"/>
          </w:tcPr>
          <w:p w14:paraId="036A8D94" w14:textId="77777777" w:rsidR="00C445AE" w:rsidRDefault="00000000" w:rsidP="00742AC7">
            <w:pPr>
              <w:keepNext/>
              <w:keepLines/>
              <w:spacing w:after="0" w:line="240" w:lineRule="auto"/>
              <w:jc w:val="both"/>
            </w:pPr>
            <w:r>
              <w:rPr>
                <w:sz w:val="18"/>
              </w:rPr>
              <w:t>7</w:t>
            </w:r>
          </w:p>
        </w:tc>
        <w:tc>
          <w:tcPr>
            <w:tcW w:w="1860" w:type="dxa"/>
            <w:tcMar>
              <w:top w:w="0" w:type="dxa"/>
              <w:bottom w:w="0" w:type="dxa"/>
            </w:tcMar>
            <w:vAlign w:val="center"/>
          </w:tcPr>
          <w:p w14:paraId="29C6228F" w14:textId="77777777" w:rsidR="00C445AE" w:rsidRDefault="00000000" w:rsidP="00742AC7">
            <w:pPr>
              <w:keepNext/>
              <w:keepLines/>
              <w:spacing w:after="0" w:line="240" w:lineRule="auto"/>
              <w:jc w:val="both"/>
            </w:pPr>
            <w:r>
              <w:rPr>
                <w:sz w:val="18"/>
              </w:rPr>
              <w:t>416,15</w:t>
            </w:r>
          </w:p>
        </w:tc>
        <w:tc>
          <w:tcPr>
            <w:tcW w:w="1860" w:type="dxa"/>
            <w:tcMar>
              <w:top w:w="0" w:type="dxa"/>
              <w:bottom w:w="0" w:type="dxa"/>
            </w:tcMar>
            <w:vAlign w:val="center"/>
          </w:tcPr>
          <w:p w14:paraId="31289FD7" w14:textId="77777777" w:rsidR="00C445AE" w:rsidRDefault="00000000" w:rsidP="00742AC7">
            <w:pPr>
              <w:keepNext/>
              <w:keepLines/>
              <w:spacing w:after="0" w:line="240" w:lineRule="auto"/>
              <w:jc w:val="both"/>
            </w:pPr>
            <w:r>
              <w:rPr>
                <w:sz w:val="18"/>
              </w:rPr>
              <w:t>40.576,49</w:t>
            </w:r>
          </w:p>
        </w:tc>
        <w:tc>
          <w:tcPr>
            <w:tcW w:w="700" w:type="dxa"/>
            <w:tcMar>
              <w:top w:w="0" w:type="dxa"/>
              <w:bottom w:w="0" w:type="dxa"/>
            </w:tcMar>
            <w:vAlign w:val="center"/>
          </w:tcPr>
          <w:p w14:paraId="7E88D76A" w14:textId="77777777" w:rsidR="00C445AE" w:rsidRDefault="00000000" w:rsidP="00742AC7">
            <w:pPr>
              <w:keepNext/>
              <w:keepLines/>
              <w:spacing w:after="0" w:line="240" w:lineRule="auto"/>
              <w:jc w:val="both"/>
            </w:pPr>
            <w:r>
              <w:rPr>
                <w:sz w:val="18"/>
              </w:rPr>
              <w:t>9750,4</w:t>
            </w:r>
          </w:p>
        </w:tc>
      </w:tr>
      <w:tr w:rsidR="00C445AE" w14:paraId="6E41904D" w14:textId="77777777">
        <w:tblPrEx>
          <w:tblCellMar>
            <w:top w:w="0" w:type="dxa"/>
            <w:bottom w:w="0" w:type="dxa"/>
          </w:tblCellMar>
        </w:tblPrEx>
        <w:trPr>
          <w:cantSplit/>
          <w:trHeight w:val="560"/>
        </w:trPr>
        <w:tc>
          <w:tcPr>
            <w:tcW w:w="700" w:type="dxa"/>
            <w:tcMar>
              <w:top w:w="0" w:type="dxa"/>
              <w:bottom w:w="0" w:type="dxa"/>
            </w:tcMar>
            <w:vAlign w:val="center"/>
          </w:tcPr>
          <w:p w14:paraId="061C0F5A" w14:textId="77777777" w:rsidR="00C445AE" w:rsidRDefault="00000000" w:rsidP="00742AC7">
            <w:pPr>
              <w:keepNext/>
              <w:keepLines/>
              <w:spacing w:after="0" w:line="240" w:lineRule="auto"/>
              <w:jc w:val="both"/>
            </w:pPr>
            <w:r>
              <w:rPr>
                <w:sz w:val="18"/>
              </w:rPr>
              <w:t>4</w:t>
            </w:r>
          </w:p>
        </w:tc>
        <w:tc>
          <w:tcPr>
            <w:tcW w:w="3180" w:type="dxa"/>
            <w:tcMar>
              <w:top w:w="0" w:type="dxa"/>
              <w:bottom w:w="0" w:type="dxa"/>
            </w:tcMar>
            <w:vAlign w:val="center"/>
          </w:tcPr>
          <w:p w14:paraId="7D85AAE3" w14:textId="77777777" w:rsidR="00C445AE" w:rsidRDefault="00000000" w:rsidP="00742AC7">
            <w:pPr>
              <w:keepNext/>
              <w:keepLines/>
              <w:spacing w:after="0" w:line="240" w:lineRule="auto"/>
              <w:jc w:val="both"/>
            </w:pPr>
            <w:r>
              <w:rPr>
                <w:sz w:val="18"/>
              </w:rPr>
              <w:t>Rashodi za nabavu nefinancijske imovine (šifre 41+42+43+44+45)</w:t>
            </w:r>
          </w:p>
        </w:tc>
        <w:tc>
          <w:tcPr>
            <w:tcW w:w="700" w:type="dxa"/>
            <w:tcMar>
              <w:top w:w="0" w:type="dxa"/>
              <w:bottom w:w="0" w:type="dxa"/>
            </w:tcMar>
            <w:vAlign w:val="center"/>
          </w:tcPr>
          <w:p w14:paraId="0BF9B357" w14:textId="77777777" w:rsidR="00C445AE" w:rsidRDefault="00000000" w:rsidP="00742AC7">
            <w:pPr>
              <w:keepNext/>
              <w:keepLines/>
              <w:spacing w:after="0" w:line="240" w:lineRule="auto"/>
              <w:jc w:val="both"/>
            </w:pPr>
            <w:r>
              <w:rPr>
                <w:sz w:val="18"/>
              </w:rPr>
              <w:t>4</w:t>
            </w:r>
          </w:p>
        </w:tc>
        <w:tc>
          <w:tcPr>
            <w:tcW w:w="1860" w:type="dxa"/>
            <w:tcMar>
              <w:top w:w="0" w:type="dxa"/>
              <w:bottom w:w="0" w:type="dxa"/>
            </w:tcMar>
            <w:vAlign w:val="center"/>
          </w:tcPr>
          <w:p w14:paraId="0561C13D" w14:textId="77777777" w:rsidR="00C445AE" w:rsidRDefault="00000000" w:rsidP="00742AC7">
            <w:pPr>
              <w:keepNext/>
              <w:keepLines/>
              <w:spacing w:after="0" w:line="240" w:lineRule="auto"/>
              <w:jc w:val="both"/>
            </w:pPr>
            <w:r>
              <w:rPr>
                <w:sz w:val="18"/>
              </w:rPr>
              <w:t>2.556.656,32</w:t>
            </w:r>
          </w:p>
        </w:tc>
        <w:tc>
          <w:tcPr>
            <w:tcW w:w="1860" w:type="dxa"/>
            <w:tcMar>
              <w:top w:w="0" w:type="dxa"/>
              <w:bottom w:w="0" w:type="dxa"/>
            </w:tcMar>
            <w:vAlign w:val="center"/>
          </w:tcPr>
          <w:p w14:paraId="123EF038" w14:textId="77777777" w:rsidR="00C445AE" w:rsidRDefault="00000000" w:rsidP="00742AC7">
            <w:pPr>
              <w:keepNext/>
              <w:keepLines/>
              <w:spacing w:after="0" w:line="240" w:lineRule="auto"/>
              <w:jc w:val="both"/>
            </w:pPr>
            <w:r>
              <w:rPr>
                <w:sz w:val="18"/>
              </w:rPr>
              <w:t>239.509,90</w:t>
            </w:r>
          </w:p>
        </w:tc>
        <w:tc>
          <w:tcPr>
            <w:tcW w:w="700" w:type="dxa"/>
            <w:tcMar>
              <w:top w:w="0" w:type="dxa"/>
              <w:bottom w:w="0" w:type="dxa"/>
            </w:tcMar>
            <w:vAlign w:val="center"/>
          </w:tcPr>
          <w:p w14:paraId="13924A85" w14:textId="77777777" w:rsidR="00C445AE" w:rsidRDefault="00000000" w:rsidP="00742AC7">
            <w:pPr>
              <w:keepNext/>
              <w:keepLines/>
              <w:spacing w:after="0" w:line="240" w:lineRule="auto"/>
              <w:jc w:val="both"/>
            </w:pPr>
            <w:r>
              <w:rPr>
                <w:sz w:val="18"/>
              </w:rPr>
              <w:t>9,4</w:t>
            </w:r>
          </w:p>
        </w:tc>
      </w:tr>
      <w:tr w:rsidR="00C445AE" w14:paraId="09BDD02E" w14:textId="77777777">
        <w:tblPrEx>
          <w:tblCellMar>
            <w:top w:w="0" w:type="dxa"/>
            <w:bottom w:w="0" w:type="dxa"/>
          </w:tblCellMar>
        </w:tblPrEx>
        <w:trPr>
          <w:cantSplit/>
          <w:trHeight w:val="560"/>
        </w:trPr>
        <w:tc>
          <w:tcPr>
            <w:tcW w:w="700" w:type="dxa"/>
            <w:tcMar>
              <w:top w:w="0" w:type="dxa"/>
              <w:bottom w:w="0" w:type="dxa"/>
            </w:tcMar>
            <w:vAlign w:val="center"/>
          </w:tcPr>
          <w:p w14:paraId="6449DED2" w14:textId="77777777" w:rsidR="00C445AE" w:rsidRDefault="00C445AE" w:rsidP="00742AC7">
            <w:pPr>
              <w:keepNext/>
              <w:keepLines/>
              <w:spacing w:after="0" w:line="240" w:lineRule="auto"/>
              <w:jc w:val="both"/>
            </w:pPr>
          </w:p>
        </w:tc>
        <w:tc>
          <w:tcPr>
            <w:tcW w:w="3180" w:type="dxa"/>
            <w:tcMar>
              <w:top w:w="0" w:type="dxa"/>
              <w:bottom w:w="0" w:type="dxa"/>
            </w:tcMar>
            <w:vAlign w:val="center"/>
          </w:tcPr>
          <w:p w14:paraId="00F5FA15" w14:textId="77777777" w:rsidR="00C445AE" w:rsidRDefault="00000000" w:rsidP="00742AC7">
            <w:pPr>
              <w:keepNext/>
              <w:keepLines/>
              <w:spacing w:after="0" w:line="240" w:lineRule="auto"/>
              <w:jc w:val="both"/>
            </w:pPr>
            <w:r>
              <w:rPr>
                <w:b/>
                <w:sz w:val="18"/>
              </w:rPr>
              <w:t>MANJAK PRIHODA OD NEFINANCIJSKE IMOVINE (šifre 4-7)</w:t>
            </w:r>
          </w:p>
        </w:tc>
        <w:tc>
          <w:tcPr>
            <w:tcW w:w="700" w:type="dxa"/>
            <w:tcMar>
              <w:top w:w="0" w:type="dxa"/>
              <w:bottom w:w="0" w:type="dxa"/>
            </w:tcMar>
            <w:vAlign w:val="center"/>
          </w:tcPr>
          <w:p w14:paraId="7787984B" w14:textId="77777777" w:rsidR="00C445AE" w:rsidRDefault="00000000" w:rsidP="00742AC7">
            <w:pPr>
              <w:keepNext/>
              <w:keepLines/>
              <w:spacing w:after="0" w:line="240" w:lineRule="auto"/>
              <w:jc w:val="both"/>
            </w:pPr>
            <w:r>
              <w:rPr>
                <w:b/>
                <w:sz w:val="18"/>
              </w:rPr>
              <w:t>Y002</w:t>
            </w:r>
          </w:p>
        </w:tc>
        <w:tc>
          <w:tcPr>
            <w:tcW w:w="1860" w:type="dxa"/>
            <w:tcMar>
              <w:top w:w="0" w:type="dxa"/>
              <w:bottom w:w="0" w:type="dxa"/>
            </w:tcMar>
            <w:vAlign w:val="center"/>
          </w:tcPr>
          <w:p w14:paraId="27EA7CF2" w14:textId="77777777" w:rsidR="00C445AE" w:rsidRDefault="00000000" w:rsidP="00742AC7">
            <w:pPr>
              <w:keepNext/>
              <w:keepLines/>
              <w:spacing w:after="0" w:line="240" w:lineRule="auto"/>
              <w:jc w:val="both"/>
            </w:pPr>
            <w:r>
              <w:rPr>
                <w:b/>
                <w:sz w:val="18"/>
              </w:rPr>
              <w:t>2.556.240,17</w:t>
            </w:r>
          </w:p>
        </w:tc>
        <w:tc>
          <w:tcPr>
            <w:tcW w:w="1860" w:type="dxa"/>
            <w:tcMar>
              <w:top w:w="0" w:type="dxa"/>
              <w:bottom w:w="0" w:type="dxa"/>
            </w:tcMar>
            <w:vAlign w:val="center"/>
          </w:tcPr>
          <w:p w14:paraId="69C80D21" w14:textId="77777777" w:rsidR="00C445AE" w:rsidRDefault="00000000" w:rsidP="00742AC7">
            <w:pPr>
              <w:keepNext/>
              <w:keepLines/>
              <w:spacing w:after="0" w:line="240" w:lineRule="auto"/>
              <w:jc w:val="both"/>
            </w:pPr>
            <w:r>
              <w:rPr>
                <w:b/>
                <w:sz w:val="18"/>
              </w:rPr>
              <w:t>198.933,41</w:t>
            </w:r>
          </w:p>
        </w:tc>
        <w:tc>
          <w:tcPr>
            <w:tcW w:w="700" w:type="dxa"/>
            <w:tcMar>
              <w:top w:w="0" w:type="dxa"/>
              <w:bottom w:w="0" w:type="dxa"/>
            </w:tcMar>
            <w:vAlign w:val="center"/>
          </w:tcPr>
          <w:p w14:paraId="3AAC9430" w14:textId="77777777" w:rsidR="00C445AE" w:rsidRDefault="00000000" w:rsidP="00742AC7">
            <w:pPr>
              <w:keepNext/>
              <w:keepLines/>
              <w:spacing w:after="0" w:line="240" w:lineRule="auto"/>
              <w:jc w:val="both"/>
            </w:pPr>
            <w:r>
              <w:rPr>
                <w:b/>
                <w:sz w:val="18"/>
              </w:rPr>
              <w:t>7,8</w:t>
            </w:r>
          </w:p>
        </w:tc>
      </w:tr>
      <w:tr w:rsidR="00C445AE" w14:paraId="40BAF20D" w14:textId="77777777">
        <w:tblPrEx>
          <w:tblCellMar>
            <w:top w:w="0" w:type="dxa"/>
            <w:bottom w:w="0" w:type="dxa"/>
          </w:tblCellMar>
        </w:tblPrEx>
        <w:trPr>
          <w:cantSplit/>
          <w:trHeight w:val="560"/>
        </w:trPr>
        <w:tc>
          <w:tcPr>
            <w:tcW w:w="700" w:type="dxa"/>
            <w:tcMar>
              <w:top w:w="0" w:type="dxa"/>
              <w:bottom w:w="0" w:type="dxa"/>
            </w:tcMar>
            <w:vAlign w:val="center"/>
          </w:tcPr>
          <w:p w14:paraId="51E826EA" w14:textId="77777777" w:rsidR="00C445AE" w:rsidRDefault="00000000" w:rsidP="00742AC7">
            <w:pPr>
              <w:keepNext/>
              <w:keepLines/>
              <w:spacing w:after="0" w:line="240" w:lineRule="auto"/>
              <w:jc w:val="both"/>
            </w:pPr>
            <w:r>
              <w:rPr>
                <w:sz w:val="18"/>
              </w:rPr>
              <w:t>8</w:t>
            </w:r>
          </w:p>
        </w:tc>
        <w:tc>
          <w:tcPr>
            <w:tcW w:w="3180" w:type="dxa"/>
            <w:tcMar>
              <w:top w:w="0" w:type="dxa"/>
              <w:bottom w:w="0" w:type="dxa"/>
            </w:tcMar>
            <w:vAlign w:val="center"/>
          </w:tcPr>
          <w:p w14:paraId="5229AD4F" w14:textId="77777777" w:rsidR="00C445AE" w:rsidRDefault="00000000" w:rsidP="00742AC7">
            <w:pPr>
              <w:keepNext/>
              <w:keepLines/>
              <w:spacing w:after="0" w:line="240" w:lineRule="auto"/>
              <w:jc w:val="both"/>
            </w:pPr>
            <w:r>
              <w:rPr>
                <w:sz w:val="18"/>
              </w:rPr>
              <w:t>Primici od financijske imovine i zaduživanja (šifre 81+82+83+84+85)</w:t>
            </w:r>
          </w:p>
        </w:tc>
        <w:tc>
          <w:tcPr>
            <w:tcW w:w="700" w:type="dxa"/>
            <w:tcMar>
              <w:top w:w="0" w:type="dxa"/>
              <w:bottom w:w="0" w:type="dxa"/>
            </w:tcMar>
            <w:vAlign w:val="center"/>
          </w:tcPr>
          <w:p w14:paraId="23EA826C" w14:textId="77777777" w:rsidR="00C445AE" w:rsidRDefault="00000000" w:rsidP="00742AC7">
            <w:pPr>
              <w:keepNext/>
              <w:keepLines/>
              <w:spacing w:after="0" w:line="240" w:lineRule="auto"/>
              <w:jc w:val="both"/>
            </w:pPr>
            <w:r>
              <w:rPr>
                <w:sz w:val="18"/>
              </w:rPr>
              <w:t>8</w:t>
            </w:r>
          </w:p>
        </w:tc>
        <w:tc>
          <w:tcPr>
            <w:tcW w:w="1860" w:type="dxa"/>
            <w:tcMar>
              <w:top w:w="0" w:type="dxa"/>
              <w:bottom w:w="0" w:type="dxa"/>
            </w:tcMar>
            <w:vAlign w:val="center"/>
          </w:tcPr>
          <w:p w14:paraId="769A3116" w14:textId="77777777" w:rsidR="00C445AE" w:rsidRDefault="00000000" w:rsidP="00742AC7">
            <w:pPr>
              <w:keepNext/>
              <w:keepLines/>
              <w:spacing w:after="0" w:line="240" w:lineRule="auto"/>
              <w:jc w:val="both"/>
            </w:pPr>
            <w:r>
              <w:rPr>
                <w:sz w:val="18"/>
              </w:rPr>
              <w:t>0,00</w:t>
            </w:r>
          </w:p>
        </w:tc>
        <w:tc>
          <w:tcPr>
            <w:tcW w:w="1860" w:type="dxa"/>
            <w:tcMar>
              <w:top w:w="0" w:type="dxa"/>
              <w:bottom w:w="0" w:type="dxa"/>
            </w:tcMar>
            <w:vAlign w:val="center"/>
          </w:tcPr>
          <w:p w14:paraId="145A209E" w14:textId="77777777" w:rsidR="00C445AE" w:rsidRDefault="00000000" w:rsidP="00742AC7">
            <w:pPr>
              <w:keepNext/>
              <w:keepLines/>
              <w:spacing w:after="0" w:line="240" w:lineRule="auto"/>
              <w:jc w:val="both"/>
            </w:pPr>
            <w:r>
              <w:rPr>
                <w:sz w:val="18"/>
              </w:rPr>
              <w:t>0,00</w:t>
            </w:r>
          </w:p>
        </w:tc>
        <w:tc>
          <w:tcPr>
            <w:tcW w:w="700" w:type="dxa"/>
            <w:tcMar>
              <w:top w:w="0" w:type="dxa"/>
              <w:bottom w:w="0" w:type="dxa"/>
            </w:tcMar>
            <w:vAlign w:val="center"/>
          </w:tcPr>
          <w:p w14:paraId="60A1F82E" w14:textId="77777777" w:rsidR="00C445AE" w:rsidRDefault="00000000" w:rsidP="00742AC7">
            <w:pPr>
              <w:keepNext/>
              <w:keepLines/>
              <w:spacing w:after="0" w:line="240" w:lineRule="auto"/>
              <w:jc w:val="both"/>
            </w:pPr>
            <w:r>
              <w:rPr>
                <w:sz w:val="18"/>
              </w:rPr>
              <w:t>-</w:t>
            </w:r>
          </w:p>
        </w:tc>
      </w:tr>
      <w:tr w:rsidR="00C445AE" w14:paraId="487510B2" w14:textId="77777777">
        <w:tblPrEx>
          <w:tblCellMar>
            <w:top w:w="0" w:type="dxa"/>
            <w:bottom w:w="0" w:type="dxa"/>
          </w:tblCellMar>
        </w:tblPrEx>
        <w:trPr>
          <w:cantSplit/>
          <w:trHeight w:val="560"/>
        </w:trPr>
        <w:tc>
          <w:tcPr>
            <w:tcW w:w="700" w:type="dxa"/>
            <w:tcMar>
              <w:top w:w="0" w:type="dxa"/>
              <w:bottom w:w="0" w:type="dxa"/>
            </w:tcMar>
            <w:vAlign w:val="center"/>
          </w:tcPr>
          <w:p w14:paraId="5EE4A16E" w14:textId="77777777" w:rsidR="00C445AE" w:rsidRDefault="00000000" w:rsidP="00742AC7">
            <w:pPr>
              <w:keepNext/>
              <w:keepLines/>
              <w:spacing w:after="0" w:line="240" w:lineRule="auto"/>
              <w:jc w:val="both"/>
            </w:pPr>
            <w:r>
              <w:rPr>
                <w:sz w:val="18"/>
              </w:rPr>
              <w:t>5</w:t>
            </w:r>
          </w:p>
        </w:tc>
        <w:tc>
          <w:tcPr>
            <w:tcW w:w="3180" w:type="dxa"/>
            <w:tcMar>
              <w:top w:w="0" w:type="dxa"/>
              <w:bottom w:w="0" w:type="dxa"/>
            </w:tcMar>
            <w:vAlign w:val="center"/>
          </w:tcPr>
          <w:p w14:paraId="0411E875" w14:textId="77777777" w:rsidR="00C445AE" w:rsidRDefault="00000000" w:rsidP="00742AC7">
            <w:pPr>
              <w:keepNext/>
              <w:keepLines/>
              <w:spacing w:after="0" w:line="240" w:lineRule="auto"/>
              <w:jc w:val="both"/>
            </w:pPr>
            <w:r>
              <w:rPr>
                <w:sz w:val="18"/>
              </w:rPr>
              <w:t>Izdaci za financijsku imovinu i otplate zajmova (šifre 51+52+53+54+55)</w:t>
            </w:r>
          </w:p>
        </w:tc>
        <w:tc>
          <w:tcPr>
            <w:tcW w:w="700" w:type="dxa"/>
            <w:tcMar>
              <w:top w:w="0" w:type="dxa"/>
              <w:bottom w:w="0" w:type="dxa"/>
            </w:tcMar>
            <w:vAlign w:val="center"/>
          </w:tcPr>
          <w:p w14:paraId="3E0F8EC5" w14:textId="77777777" w:rsidR="00C445AE" w:rsidRDefault="00000000" w:rsidP="00742AC7">
            <w:pPr>
              <w:keepNext/>
              <w:keepLines/>
              <w:spacing w:after="0" w:line="240" w:lineRule="auto"/>
              <w:jc w:val="both"/>
            </w:pPr>
            <w:r>
              <w:rPr>
                <w:sz w:val="18"/>
              </w:rPr>
              <w:t>5</w:t>
            </w:r>
          </w:p>
        </w:tc>
        <w:tc>
          <w:tcPr>
            <w:tcW w:w="1860" w:type="dxa"/>
            <w:tcMar>
              <w:top w:w="0" w:type="dxa"/>
              <w:bottom w:w="0" w:type="dxa"/>
            </w:tcMar>
            <w:vAlign w:val="center"/>
          </w:tcPr>
          <w:p w14:paraId="75E4F33B" w14:textId="77777777" w:rsidR="00C445AE" w:rsidRDefault="00000000" w:rsidP="00742AC7">
            <w:pPr>
              <w:keepNext/>
              <w:keepLines/>
              <w:spacing w:after="0" w:line="240" w:lineRule="auto"/>
              <w:jc w:val="both"/>
            </w:pPr>
            <w:r>
              <w:rPr>
                <w:sz w:val="18"/>
              </w:rPr>
              <w:t>39.354,76</w:t>
            </w:r>
          </w:p>
        </w:tc>
        <w:tc>
          <w:tcPr>
            <w:tcW w:w="1860" w:type="dxa"/>
            <w:tcMar>
              <w:top w:w="0" w:type="dxa"/>
              <w:bottom w:w="0" w:type="dxa"/>
            </w:tcMar>
            <w:vAlign w:val="center"/>
          </w:tcPr>
          <w:p w14:paraId="6B540C34" w14:textId="77777777" w:rsidR="00C445AE" w:rsidRDefault="00000000" w:rsidP="00742AC7">
            <w:pPr>
              <w:keepNext/>
              <w:keepLines/>
              <w:spacing w:after="0" w:line="240" w:lineRule="auto"/>
              <w:jc w:val="both"/>
            </w:pPr>
            <w:r>
              <w:rPr>
                <w:sz w:val="18"/>
              </w:rPr>
              <w:t>39.354,76</w:t>
            </w:r>
          </w:p>
        </w:tc>
        <w:tc>
          <w:tcPr>
            <w:tcW w:w="700" w:type="dxa"/>
            <w:tcMar>
              <w:top w:w="0" w:type="dxa"/>
              <w:bottom w:w="0" w:type="dxa"/>
            </w:tcMar>
            <w:vAlign w:val="center"/>
          </w:tcPr>
          <w:p w14:paraId="126504C7" w14:textId="77777777" w:rsidR="00C445AE" w:rsidRDefault="00000000" w:rsidP="00742AC7">
            <w:pPr>
              <w:keepNext/>
              <w:keepLines/>
              <w:spacing w:after="0" w:line="240" w:lineRule="auto"/>
              <w:jc w:val="both"/>
            </w:pPr>
            <w:r>
              <w:rPr>
                <w:sz w:val="18"/>
              </w:rPr>
              <w:t>100</w:t>
            </w:r>
          </w:p>
        </w:tc>
      </w:tr>
      <w:tr w:rsidR="00C445AE" w14:paraId="0CD9280A" w14:textId="77777777">
        <w:tblPrEx>
          <w:tblCellMar>
            <w:top w:w="0" w:type="dxa"/>
            <w:bottom w:w="0" w:type="dxa"/>
          </w:tblCellMar>
        </w:tblPrEx>
        <w:trPr>
          <w:cantSplit/>
          <w:trHeight w:val="560"/>
        </w:trPr>
        <w:tc>
          <w:tcPr>
            <w:tcW w:w="700" w:type="dxa"/>
            <w:tcMar>
              <w:top w:w="0" w:type="dxa"/>
              <w:bottom w:w="0" w:type="dxa"/>
            </w:tcMar>
            <w:vAlign w:val="center"/>
          </w:tcPr>
          <w:p w14:paraId="4E0E64AA" w14:textId="77777777" w:rsidR="00C445AE" w:rsidRDefault="00C445AE" w:rsidP="00742AC7">
            <w:pPr>
              <w:keepNext/>
              <w:keepLines/>
              <w:spacing w:after="0" w:line="240" w:lineRule="auto"/>
              <w:jc w:val="both"/>
            </w:pPr>
          </w:p>
        </w:tc>
        <w:tc>
          <w:tcPr>
            <w:tcW w:w="3180" w:type="dxa"/>
            <w:tcMar>
              <w:top w:w="0" w:type="dxa"/>
              <w:bottom w:w="0" w:type="dxa"/>
            </w:tcMar>
            <w:vAlign w:val="center"/>
          </w:tcPr>
          <w:p w14:paraId="1938AC18" w14:textId="77777777" w:rsidR="00C445AE" w:rsidRDefault="00000000" w:rsidP="00742AC7">
            <w:pPr>
              <w:keepNext/>
              <w:keepLines/>
              <w:spacing w:after="0" w:line="240" w:lineRule="auto"/>
              <w:jc w:val="both"/>
            </w:pPr>
            <w:r>
              <w:rPr>
                <w:b/>
                <w:sz w:val="18"/>
              </w:rPr>
              <w:t>MANJAK PRIMITAKA OD FINANCIJSKE IMOVINE I ZADUŽIVANJA (šifre 5-8)</w:t>
            </w:r>
          </w:p>
        </w:tc>
        <w:tc>
          <w:tcPr>
            <w:tcW w:w="700" w:type="dxa"/>
            <w:tcMar>
              <w:top w:w="0" w:type="dxa"/>
              <w:bottom w:w="0" w:type="dxa"/>
            </w:tcMar>
            <w:vAlign w:val="center"/>
          </w:tcPr>
          <w:p w14:paraId="2E2EE27F" w14:textId="77777777" w:rsidR="00C445AE" w:rsidRDefault="00000000" w:rsidP="00742AC7">
            <w:pPr>
              <w:keepNext/>
              <w:keepLines/>
              <w:spacing w:after="0" w:line="240" w:lineRule="auto"/>
              <w:jc w:val="both"/>
            </w:pPr>
            <w:r>
              <w:rPr>
                <w:b/>
                <w:sz w:val="18"/>
              </w:rPr>
              <w:t>Y003</w:t>
            </w:r>
          </w:p>
        </w:tc>
        <w:tc>
          <w:tcPr>
            <w:tcW w:w="1860" w:type="dxa"/>
            <w:tcMar>
              <w:top w:w="0" w:type="dxa"/>
              <w:bottom w:w="0" w:type="dxa"/>
            </w:tcMar>
            <w:vAlign w:val="center"/>
          </w:tcPr>
          <w:p w14:paraId="57B3EA71" w14:textId="77777777" w:rsidR="00C445AE" w:rsidRDefault="00000000" w:rsidP="00742AC7">
            <w:pPr>
              <w:keepNext/>
              <w:keepLines/>
              <w:spacing w:after="0" w:line="240" w:lineRule="auto"/>
              <w:jc w:val="both"/>
            </w:pPr>
            <w:r>
              <w:rPr>
                <w:b/>
                <w:sz w:val="18"/>
              </w:rPr>
              <w:t>39.354,76</w:t>
            </w:r>
          </w:p>
        </w:tc>
        <w:tc>
          <w:tcPr>
            <w:tcW w:w="1860" w:type="dxa"/>
            <w:tcMar>
              <w:top w:w="0" w:type="dxa"/>
              <w:bottom w:w="0" w:type="dxa"/>
            </w:tcMar>
            <w:vAlign w:val="center"/>
          </w:tcPr>
          <w:p w14:paraId="2C35D5C2" w14:textId="77777777" w:rsidR="00C445AE" w:rsidRDefault="00000000" w:rsidP="00742AC7">
            <w:pPr>
              <w:keepNext/>
              <w:keepLines/>
              <w:spacing w:after="0" w:line="240" w:lineRule="auto"/>
              <w:jc w:val="both"/>
            </w:pPr>
            <w:r>
              <w:rPr>
                <w:b/>
                <w:sz w:val="18"/>
              </w:rPr>
              <w:t>39.354,76</w:t>
            </w:r>
          </w:p>
        </w:tc>
        <w:tc>
          <w:tcPr>
            <w:tcW w:w="700" w:type="dxa"/>
            <w:tcMar>
              <w:top w:w="0" w:type="dxa"/>
              <w:bottom w:w="0" w:type="dxa"/>
            </w:tcMar>
            <w:vAlign w:val="center"/>
          </w:tcPr>
          <w:p w14:paraId="28562BC0" w14:textId="77777777" w:rsidR="00C445AE" w:rsidRDefault="00000000" w:rsidP="00742AC7">
            <w:pPr>
              <w:keepNext/>
              <w:keepLines/>
              <w:spacing w:after="0" w:line="240" w:lineRule="auto"/>
              <w:jc w:val="both"/>
            </w:pPr>
            <w:r>
              <w:rPr>
                <w:b/>
                <w:sz w:val="18"/>
              </w:rPr>
              <w:t>100</w:t>
            </w:r>
          </w:p>
        </w:tc>
      </w:tr>
      <w:tr w:rsidR="00C445AE" w14:paraId="1FA8D0B1" w14:textId="77777777">
        <w:tblPrEx>
          <w:tblCellMar>
            <w:top w:w="0" w:type="dxa"/>
            <w:bottom w:w="0" w:type="dxa"/>
          </w:tblCellMar>
        </w:tblPrEx>
        <w:trPr>
          <w:cantSplit/>
          <w:trHeight w:val="560"/>
        </w:trPr>
        <w:tc>
          <w:tcPr>
            <w:tcW w:w="700" w:type="dxa"/>
            <w:tcMar>
              <w:top w:w="0" w:type="dxa"/>
              <w:bottom w:w="0" w:type="dxa"/>
            </w:tcMar>
            <w:vAlign w:val="center"/>
          </w:tcPr>
          <w:p w14:paraId="01E1BF75" w14:textId="77777777" w:rsidR="00C445AE" w:rsidRDefault="00C445AE" w:rsidP="00742AC7">
            <w:pPr>
              <w:keepNext/>
              <w:keepLines/>
              <w:spacing w:after="0" w:line="240" w:lineRule="auto"/>
              <w:jc w:val="both"/>
            </w:pPr>
          </w:p>
        </w:tc>
        <w:tc>
          <w:tcPr>
            <w:tcW w:w="3180" w:type="dxa"/>
            <w:tcMar>
              <w:top w:w="0" w:type="dxa"/>
              <w:bottom w:w="0" w:type="dxa"/>
            </w:tcMar>
            <w:vAlign w:val="center"/>
          </w:tcPr>
          <w:p w14:paraId="4C7AAB58" w14:textId="77777777" w:rsidR="00C445AE" w:rsidRDefault="00000000" w:rsidP="00742AC7">
            <w:pPr>
              <w:keepNext/>
              <w:keepLines/>
              <w:spacing w:after="0" w:line="240" w:lineRule="auto"/>
              <w:jc w:val="both"/>
            </w:pPr>
            <w:r>
              <w:rPr>
                <w:b/>
                <w:sz w:val="18"/>
              </w:rPr>
              <w:t>VIŠAK PRIHODA I PRIMITAKA (šifre X678-Y345)</w:t>
            </w:r>
          </w:p>
        </w:tc>
        <w:tc>
          <w:tcPr>
            <w:tcW w:w="700" w:type="dxa"/>
            <w:tcMar>
              <w:top w:w="0" w:type="dxa"/>
              <w:bottom w:w="0" w:type="dxa"/>
            </w:tcMar>
            <w:vAlign w:val="center"/>
          </w:tcPr>
          <w:p w14:paraId="190C1F86" w14:textId="77777777" w:rsidR="00C445AE" w:rsidRDefault="00000000" w:rsidP="00742AC7">
            <w:pPr>
              <w:keepNext/>
              <w:keepLines/>
              <w:spacing w:after="0" w:line="240" w:lineRule="auto"/>
              <w:jc w:val="both"/>
            </w:pPr>
            <w:r>
              <w:rPr>
                <w:b/>
                <w:sz w:val="18"/>
              </w:rPr>
              <w:t>X005</w:t>
            </w:r>
          </w:p>
        </w:tc>
        <w:tc>
          <w:tcPr>
            <w:tcW w:w="1860" w:type="dxa"/>
            <w:tcMar>
              <w:top w:w="0" w:type="dxa"/>
              <w:bottom w:w="0" w:type="dxa"/>
            </w:tcMar>
            <w:vAlign w:val="center"/>
          </w:tcPr>
          <w:p w14:paraId="012205EA" w14:textId="77777777" w:rsidR="00C445AE" w:rsidRDefault="00000000" w:rsidP="00742AC7">
            <w:pPr>
              <w:keepNext/>
              <w:keepLines/>
              <w:spacing w:after="0" w:line="240" w:lineRule="auto"/>
              <w:jc w:val="both"/>
            </w:pPr>
            <w:r>
              <w:rPr>
                <w:b/>
                <w:sz w:val="18"/>
              </w:rPr>
              <w:t>0,00</w:t>
            </w:r>
          </w:p>
        </w:tc>
        <w:tc>
          <w:tcPr>
            <w:tcW w:w="1860" w:type="dxa"/>
            <w:tcMar>
              <w:top w:w="0" w:type="dxa"/>
              <w:bottom w:w="0" w:type="dxa"/>
            </w:tcMar>
            <w:vAlign w:val="center"/>
          </w:tcPr>
          <w:p w14:paraId="11499842" w14:textId="77777777" w:rsidR="00C445AE" w:rsidRDefault="00000000" w:rsidP="00742AC7">
            <w:pPr>
              <w:keepNext/>
              <w:keepLines/>
              <w:spacing w:after="0" w:line="240" w:lineRule="auto"/>
              <w:jc w:val="both"/>
            </w:pPr>
            <w:r>
              <w:rPr>
                <w:b/>
                <w:sz w:val="18"/>
              </w:rPr>
              <w:t>422.323,94</w:t>
            </w:r>
          </w:p>
        </w:tc>
        <w:tc>
          <w:tcPr>
            <w:tcW w:w="700" w:type="dxa"/>
            <w:tcMar>
              <w:top w:w="0" w:type="dxa"/>
              <w:bottom w:w="0" w:type="dxa"/>
            </w:tcMar>
            <w:vAlign w:val="center"/>
          </w:tcPr>
          <w:p w14:paraId="4F62E2EF" w14:textId="77777777" w:rsidR="00C445AE" w:rsidRDefault="00000000" w:rsidP="00742AC7">
            <w:pPr>
              <w:keepNext/>
              <w:keepLines/>
              <w:spacing w:after="0" w:line="240" w:lineRule="auto"/>
              <w:jc w:val="both"/>
            </w:pPr>
            <w:r>
              <w:rPr>
                <w:b/>
                <w:sz w:val="18"/>
              </w:rPr>
              <w:t>-</w:t>
            </w:r>
          </w:p>
        </w:tc>
      </w:tr>
    </w:tbl>
    <w:p w14:paraId="2A5ADAA3" w14:textId="77777777" w:rsidR="00C445AE" w:rsidRDefault="00C445AE" w:rsidP="00742AC7">
      <w:pPr>
        <w:spacing w:after="0"/>
        <w:jc w:val="both"/>
      </w:pPr>
    </w:p>
    <w:p w14:paraId="7A826BDD" w14:textId="77777777" w:rsidR="00C445AE" w:rsidRDefault="00000000" w:rsidP="00742AC7">
      <w:pPr>
        <w:jc w:val="both"/>
      </w:pPr>
      <w:r>
        <w:t>Sukladno odredbama članka 15. do članka 19. Pravilnika o financijskom izvještavanju u proračunskom računovodstvu (˝Narodne novine˝, broj 37/2022.) sastavljaju se Bilješke uz financijske izvještaje Općine Fažana za izvještajno razdoblje od 1. siječnja do 30. lipnja 2026. godine kao objašnjenje i dopuna podataka za određene stavke iz izvještaja, i to kako slijedi:  </w:t>
      </w:r>
    </w:p>
    <w:p w14:paraId="7870F684" w14:textId="77777777" w:rsidR="00C445AE" w:rsidRDefault="00000000" w:rsidP="00742AC7">
      <w:pPr>
        <w:jc w:val="both"/>
      </w:pPr>
      <w:r>
        <w:t>Prihodi i rashodi za razdoblje 01.01. - 30.06.2026. jesu slijedeći:</w:t>
      </w:r>
    </w:p>
    <w:p w14:paraId="20AE2243" w14:textId="77777777" w:rsidR="00C445AE" w:rsidRDefault="00000000" w:rsidP="00742AC7">
      <w:pPr>
        <w:jc w:val="both"/>
      </w:pPr>
      <w:r>
        <w:lastRenderedPageBreak/>
        <w:t>•         Ukupni prihodi poslovanja (šifra 6) ostvareni su u izvještajnom razdoblju u iznosu od 3.253.460,15 EUR, a ukupni rashodi poslovanja (šifra 3) ostvareni su u iznosu od 2.592.848,04 EUR što je rezultiralo viškom prihoda poslovanja (šifra X001) u iznosu od 660.612,11 EUR.</w:t>
      </w:r>
    </w:p>
    <w:p w14:paraId="53652501" w14:textId="77777777" w:rsidR="00C445AE" w:rsidRDefault="00000000" w:rsidP="00742AC7">
      <w:pPr>
        <w:jc w:val="both"/>
      </w:pPr>
      <w:r>
        <w:t>•         Dok su ukupni prihodi od prodaje nefinancijske imovine (šifra 7) realizirani u iznosu od 40.576,49 EUR, a rashodi za nabavu nefinancijske imovine (šifra 4) realizirani su u ukupnom iznosu od 239.509,90 EUR, što je rezultiralo manjkom prihoda od nefinancijske imovine (šifra Y002) u iznosu od 198.933,41 EUR.</w:t>
      </w:r>
    </w:p>
    <w:p w14:paraId="6A4967D6" w14:textId="77777777" w:rsidR="00C445AE" w:rsidRDefault="00000000" w:rsidP="00742AC7">
      <w:pPr>
        <w:jc w:val="both"/>
      </w:pPr>
      <w:r>
        <w:t xml:space="preserve">•         Primici od financijske imovine i zaduživanja (šifra 8) nisu ostvareni u </w:t>
      </w:r>
      <w:proofErr w:type="spellStart"/>
      <w:r>
        <w:t>u</w:t>
      </w:r>
      <w:proofErr w:type="spellEnd"/>
      <w:r>
        <w:t xml:space="preserve"> izvještajnom razdoblju, dok su ukupni izdaci za financijsku imovinu i otplate zajmova (šifra 5) ostvareni u iznosu od 39.354,76 EUR, što je rezultiralo manjkom od financijske imovine i zaduživanja (šifra Y003) u iznosu od 39.354,76 EUR.</w:t>
      </w:r>
    </w:p>
    <w:p w14:paraId="1D2159BB" w14:textId="77777777" w:rsidR="00C445AE" w:rsidRDefault="00000000" w:rsidP="00742AC7">
      <w:pPr>
        <w:jc w:val="both"/>
      </w:pPr>
      <w:r>
        <w:t>•         Zaključno, na kraju izvještajnog razdoblja Općina Fažana je ostvarila višak prihoda i primitaka (šifra X005) u iznosu od 422.323,94 EUR.</w:t>
      </w:r>
    </w:p>
    <w:p w14:paraId="237C1E5F" w14:textId="77777777" w:rsidR="00C445AE" w:rsidRDefault="00000000" w:rsidP="00742AC7">
      <w:pPr>
        <w:jc w:val="both"/>
      </w:pPr>
      <w:r>
        <w:br/>
      </w:r>
    </w:p>
    <w:p w14:paraId="6BA5E845" w14:textId="77777777" w:rsidR="00C445AE" w:rsidRDefault="00000000" w:rsidP="00742AC7">
      <w:pPr>
        <w:keepNext/>
        <w:spacing w:line="240" w:lineRule="auto"/>
        <w:jc w:val="both"/>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0169C5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CC7D07"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E546FD"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FE142C2"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FCAE737"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615018D"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EE92628" w14:textId="77777777" w:rsidR="00C445AE" w:rsidRDefault="00000000" w:rsidP="00742AC7">
            <w:pPr>
              <w:keepNext/>
              <w:keepLines/>
              <w:spacing w:after="0" w:line="240" w:lineRule="auto"/>
              <w:jc w:val="both"/>
            </w:pPr>
            <w:r>
              <w:rPr>
                <w:b/>
                <w:sz w:val="18"/>
              </w:rPr>
              <w:t>Indeks (%)</w:t>
            </w:r>
          </w:p>
        </w:tc>
      </w:tr>
      <w:tr w:rsidR="00C445AE" w14:paraId="331B8897" w14:textId="77777777">
        <w:tblPrEx>
          <w:tblCellMar>
            <w:top w:w="0" w:type="dxa"/>
            <w:bottom w:w="0" w:type="dxa"/>
          </w:tblCellMar>
        </w:tblPrEx>
        <w:trPr>
          <w:cantSplit/>
          <w:trHeight w:val="560"/>
        </w:trPr>
        <w:tc>
          <w:tcPr>
            <w:tcW w:w="700" w:type="dxa"/>
            <w:tcMar>
              <w:top w:w="0" w:type="dxa"/>
              <w:bottom w:w="0" w:type="dxa"/>
            </w:tcMar>
            <w:vAlign w:val="center"/>
          </w:tcPr>
          <w:p w14:paraId="51CF0641" w14:textId="77777777" w:rsidR="00C445AE" w:rsidRDefault="00000000" w:rsidP="00742AC7">
            <w:pPr>
              <w:keepNext/>
              <w:keepLines/>
              <w:spacing w:after="0" w:line="240" w:lineRule="auto"/>
              <w:jc w:val="both"/>
            </w:pPr>
            <w:r>
              <w:rPr>
                <w:sz w:val="18"/>
              </w:rPr>
              <w:t>6</w:t>
            </w:r>
          </w:p>
        </w:tc>
        <w:tc>
          <w:tcPr>
            <w:tcW w:w="3180" w:type="dxa"/>
            <w:tcMar>
              <w:top w:w="0" w:type="dxa"/>
              <w:bottom w:w="0" w:type="dxa"/>
            </w:tcMar>
            <w:vAlign w:val="center"/>
          </w:tcPr>
          <w:p w14:paraId="0E2FCCE0" w14:textId="77777777" w:rsidR="00C445AE" w:rsidRDefault="00000000" w:rsidP="00742AC7">
            <w:pPr>
              <w:keepNext/>
              <w:keepLines/>
              <w:spacing w:after="0" w:line="240" w:lineRule="auto"/>
              <w:jc w:val="both"/>
            </w:pPr>
            <w:r>
              <w:rPr>
                <w:sz w:val="18"/>
              </w:rPr>
              <w:t>PRIHODI POSLOVANJA (šifre 61+62+63+64+65+66+67+68)</w:t>
            </w:r>
          </w:p>
        </w:tc>
        <w:tc>
          <w:tcPr>
            <w:tcW w:w="700" w:type="dxa"/>
            <w:tcMar>
              <w:top w:w="0" w:type="dxa"/>
              <w:bottom w:w="0" w:type="dxa"/>
            </w:tcMar>
            <w:vAlign w:val="center"/>
          </w:tcPr>
          <w:p w14:paraId="5AD36379" w14:textId="77777777" w:rsidR="00C445AE" w:rsidRDefault="00000000" w:rsidP="00742AC7">
            <w:pPr>
              <w:keepNext/>
              <w:keepLines/>
              <w:spacing w:after="0" w:line="240" w:lineRule="auto"/>
              <w:jc w:val="both"/>
            </w:pPr>
            <w:r>
              <w:rPr>
                <w:sz w:val="18"/>
              </w:rPr>
              <w:t>6</w:t>
            </w:r>
          </w:p>
        </w:tc>
        <w:tc>
          <w:tcPr>
            <w:tcW w:w="1860" w:type="dxa"/>
            <w:tcMar>
              <w:top w:w="0" w:type="dxa"/>
              <w:bottom w:w="0" w:type="dxa"/>
            </w:tcMar>
            <w:vAlign w:val="center"/>
          </w:tcPr>
          <w:p w14:paraId="7A9BF856" w14:textId="77777777" w:rsidR="00C445AE" w:rsidRDefault="00000000" w:rsidP="00742AC7">
            <w:pPr>
              <w:keepNext/>
              <w:keepLines/>
              <w:spacing w:after="0" w:line="240" w:lineRule="auto"/>
              <w:jc w:val="both"/>
            </w:pPr>
            <w:r>
              <w:rPr>
                <w:sz w:val="18"/>
              </w:rPr>
              <w:t>2.532.996,14</w:t>
            </w:r>
          </w:p>
        </w:tc>
        <w:tc>
          <w:tcPr>
            <w:tcW w:w="1860" w:type="dxa"/>
            <w:tcMar>
              <w:top w:w="0" w:type="dxa"/>
              <w:bottom w:w="0" w:type="dxa"/>
            </w:tcMar>
            <w:vAlign w:val="center"/>
          </w:tcPr>
          <w:p w14:paraId="4C930436" w14:textId="77777777" w:rsidR="00C445AE" w:rsidRDefault="00000000" w:rsidP="00742AC7">
            <w:pPr>
              <w:keepNext/>
              <w:keepLines/>
              <w:spacing w:after="0" w:line="240" w:lineRule="auto"/>
              <w:jc w:val="both"/>
            </w:pPr>
            <w:r>
              <w:rPr>
                <w:sz w:val="18"/>
              </w:rPr>
              <w:t>3.253.460,15</w:t>
            </w:r>
          </w:p>
        </w:tc>
        <w:tc>
          <w:tcPr>
            <w:tcW w:w="700" w:type="dxa"/>
            <w:tcMar>
              <w:top w:w="0" w:type="dxa"/>
              <w:bottom w:w="0" w:type="dxa"/>
            </w:tcMar>
            <w:vAlign w:val="center"/>
          </w:tcPr>
          <w:p w14:paraId="3F1566F5" w14:textId="77777777" w:rsidR="00C445AE" w:rsidRDefault="00000000" w:rsidP="00742AC7">
            <w:pPr>
              <w:keepNext/>
              <w:keepLines/>
              <w:spacing w:after="0" w:line="240" w:lineRule="auto"/>
              <w:jc w:val="both"/>
            </w:pPr>
            <w:r>
              <w:rPr>
                <w:sz w:val="18"/>
              </w:rPr>
              <w:t>128,4</w:t>
            </w:r>
          </w:p>
        </w:tc>
      </w:tr>
    </w:tbl>
    <w:p w14:paraId="4253DC8D" w14:textId="77777777" w:rsidR="00C445AE" w:rsidRDefault="00C445AE" w:rsidP="00742AC7">
      <w:pPr>
        <w:spacing w:after="0"/>
        <w:jc w:val="both"/>
      </w:pPr>
    </w:p>
    <w:p w14:paraId="2640E2F1" w14:textId="77777777" w:rsidR="00C445AE" w:rsidRDefault="00000000" w:rsidP="00742AC7">
      <w:pPr>
        <w:jc w:val="both"/>
      </w:pPr>
      <w:r>
        <w:t>U izvještajnom razdoblju od 01.01. do 30.06.2026. ukupni prihodi poslovanja (šifra 6) Općine Fažane iznose 3.253.460,15 EUR, što je povećanje od 28,4% u odnosu na prošlu godinu za isto razdoblje, kad su iznosili 2.532.996,14 EUR.</w:t>
      </w:r>
    </w:p>
    <w:p w14:paraId="224F0999" w14:textId="77777777" w:rsidR="00C445AE" w:rsidRDefault="00000000" w:rsidP="00742AC7">
      <w:pPr>
        <w:jc w:val="both"/>
      </w:pPr>
      <w:r>
        <w:t>Prihodi poslovanja su u šestomjesečnom razdoblju povećani za više od 28% najvećim dijelom iz razloga većeg ostvarenja prihoda od poreza na dohodak za 29,6% ,više od 2024. god. (zbog povećanje plaća), zatim ostvarenja većih prihoda od poreza na dohodak od kapitala za 91% više (veće isplate kamata i dividendi u odnosu na 2025. godinu), pa većih prihoda od komunalne naknade (82% više) i komunalnih doprinosa (394% više) zbog bolje naplate prihoda (pravovremenog slanja rješenja za komunalnu naknadu i doprinose, slanja opomena - te naplate istih).</w:t>
      </w:r>
    </w:p>
    <w:p w14:paraId="4D300873" w14:textId="77777777" w:rsidR="00C445AE" w:rsidRDefault="00C445AE" w:rsidP="00742AC7">
      <w:pPr>
        <w:jc w:val="both"/>
      </w:pPr>
    </w:p>
    <w:p w14:paraId="46C103C3" w14:textId="77777777" w:rsidR="00C445AE" w:rsidRDefault="00000000" w:rsidP="00742AC7">
      <w:pPr>
        <w:keepNext/>
        <w:spacing w:line="240" w:lineRule="auto"/>
        <w:jc w:val="both"/>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274DF4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BA1D76"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093EF8"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DC15062"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C35CAD1"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6B2AE49"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FD4F1D2" w14:textId="77777777" w:rsidR="00C445AE" w:rsidRDefault="00000000" w:rsidP="00742AC7">
            <w:pPr>
              <w:keepNext/>
              <w:keepLines/>
              <w:spacing w:after="0" w:line="240" w:lineRule="auto"/>
              <w:jc w:val="both"/>
            </w:pPr>
            <w:r>
              <w:rPr>
                <w:b/>
                <w:sz w:val="18"/>
              </w:rPr>
              <w:t>Indeks (%)</w:t>
            </w:r>
          </w:p>
        </w:tc>
      </w:tr>
      <w:tr w:rsidR="00C445AE" w14:paraId="6625283E" w14:textId="77777777">
        <w:tblPrEx>
          <w:tblCellMar>
            <w:top w:w="0" w:type="dxa"/>
            <w:bottom w:w="0" w:type="dxa"/>
          </w:tblCellMar>
        </w:tblPrEx>
        <w:trPr>
          <w:cantSplit/>
          <w:trHeight w:val="560"/>
        </w:trPr>
        <w:tc>
          <w:tcPr>
            <w:tcW w:w="700" w:type="dxa"/>
            <w:tcMar>
              <w:top w:w="0" w:type="dxa"/>
              <w:bottom w:w="0" w:type="dxa"/>
            </w:tcMar>
            <w:vAlign w:val="center"/>
          </w:tcPr>
          <w:p w14:paraId="749D8251" w14:textId="77777777" w:rsidR="00C445AE" w:rsidRDefault="00000000" w:rsidP="00742AC7">
            <w:pPr>
              <w:keepNext/>
              <w:keepLines/>
              <w:spacing w:after="0" w:line="240" w:lineRule="auto"/>
              <w:jc w:val="both"/>
            </w:pPr>
            <w:r>
              <w:rPr>
                <w:sz w:val="18"/>
              </w:rPr>
              <w:t>6421</w:t>
            </w:r>
          </w:p>
        </w:tc>
        <w:tc>
          <w:tcPr>
            <w:tcW w:w="3180" w:type="dxa"/>
            <w:tcMar>
              <w:top w:w="0" w:type="dxa"/>
              <w:bottom w:w="0" w:type="dxa"/>
            </w:tcMar>
            <w:vAlign w:val="center"/>
          </w:tcPr>
          <w:p w14:paraId="599D560F" w14:textId="77777777" w:rsidR="00C445AE" w:rsidRDefault="00000000" w:rsidP="00742AC7">
            <w:pPr>
              <w:keepNext/>
              <w:keepLines/>
              <w:spacing w:after="0" w:line="240" w:lineRule="auto"/>
              <w:jc w:val="both"/>
            </w:pPr>
            <w:r>
              <w:rPr>
                <w:sz w:val="18"/>
              </w:rPr>
              <w:t>Naknade za koncesije</w:t>
            </w:r>
          </w:p>
        </w:tc>
        <w:tc>
          <w:tcPr>
            <w:tcW w:w="700" w:type="dxa"/>
            <w:tcMar>
              <w:top w:w="0" w:type="dxa"/>
              <w:bottom w:w="0" w:type="dxa"/>
            </w:tcMar>
            <w:vAlign w:val="center"/>
          </w:tcPr>
          <w:p w14:paraId="03FB6860" w14:textId="77777777" w:rsidR="00C445AE" w:rsidRDefault="00000000" w:rsidP="00742AC7">
            <w:pPr>
              <w:keepNext/>
              <w:keepLines/>
              <w:spacing w:after="0" w:line="240" w:lineRule="auto"/>
              <w:jc w:val="both"/>
            </w:pPr>
            <w:r>
              <w:rPr>
                <w:sz w:val="18"/>
              </w:rPr>
              <w:t>6421</w:t>
            </w:r>
          </w:p>
        </w:tc>
        <w:tc>
          <w:tcPr>
            <w:tcW w:w="1860" w:type="dxa"/>
            <w:tcMar>
              <w:top w:w="0" w:type="dxa"/>
              <w:bottom w:w="0" w:type="dxa"/>
            </w:tcMar>
            <w:vAlign w:val="center"/>
          </w:tcPr>
          <w:p w14:paraId="5EDFE611" w14:textId="77777777" w:rsidR="00C445AE" w:rsidRDefault="00000000" w:rsidP="00742AC7">
            <w:pPr>
              <w:keepNext/>
              <w:keepLines/>
              <w:spacing w:after="0" w:line="240" w:lineRule="auto"/>
              <w:jc w:val="both"/>
            </w:pPr>
            <w:r>
              <w:rPr>
                <w:sz w:val="18"/>
              </w:rPr>
              <w:t>109.454,51</w:t>
            </w:r>
          </w:p>
        </w:tc>
        <w:tc>
          <w:tcPr>
            <w:tcW w:w="1860" w:type="dxa"/>
            <w:tcMar>
              <w:top w:w="0" w:type="dxa"/>
              <w:bottom w:w="0" w:type="dxa"/>
            </w:tcMar>
            <w:vAlign w:val="center"/>
          </w:tcPr>
          <w:p w14:paraId="4E8A070C" w14:textId="77777777" w:rsidR="00C445AE" w:rsidRDefault="00000000" w:rsidP="00742AC7">
            <w:pPr>
              <w:keepNext/>
              <w:keepLines/>
              <w:spacing w:after="0" w:line="240" w:lineRule="auto"/>
              <w:jc w:val="both"/>
            </w:pPr>
            <w:r>
              <w:rPr>
                <w:sz w:val="18"/>
              </w:rPr>
              <w:t>39.176,86</w:t>
            </w:r>
          </w:p>
        </w:tc>
        <w:tc>
          <w:tcPr>
            <w:tcW w:w="700" w:type="dxa"/>
            <w:tcMar>
              <w:top w:w="0" w:type="dxa"/>
              <w:bottom w:w="0" w:type="dxa"/>
            </w:tcMar>
            <w:vAlign w:val="center"/>
          </w:tcPr>
          <w:p w14:paraId="203D2E47" w14:textId="77777777" w:rsidR="00C445AE" w:rsidRDefault="00000000" w:rsidP="00742AC7">
            <w:pPr>
              <w:keepNext/>
              <w:keepLines/>
              <w:spacing w:after="0" w:line="240" w:lineRule="auto"/>
              <w:jc w:val="both"/>
            </w:pPr>
            <w:r>
              <w:rPr>
                <w:sz w:val="18"/>
              </w:rPr>
              <w:t>35,8</w:t>
            </w:r>
          </w:p>
        </w:tc>
      </w:tr>
    </w:tbl>
    <w:p w14:paraId="3A85B32E" w14:textId="77777777" w:rsidR="00C445AE" w:rsidRDefault="00C445AE" w:rsidP="00742AC7">
      <w:pPr>
        <w:spacing w:after="0"/>
        <w:jc w:val="both"/>
      </w:pPr>
    </w:p>
    <w:p w14:paraId="3637D1B0" w14:textId="77777777" w:rsidR="00C445AE" w:rsidRDefault="00000000" w:rsidP="00742AC7">
      <w:pPr>
        <w:jc w:val="both"/>
      </w:pPr>
      <w:r>
        <w:lastRenderedPageBreak/>
        <w:t>Prihodi od naknade za koncesije (šifra 6421) ostvareni su u iznosu od 39.176,86 EUR odnosno sa 35,8% u odnosu na prošlu godinu u istom izvještajnom razdoblju kad su ostvareni u iznosu od 109.454,51 EUR.</w:t>
      </w:r>
    </w:p>
    <w:p w14:paraId="16742EF2" w14:textId="77777777" w:rsidR="00C445AE" w:rsidRDefault="00000000" w:rsidP="00742AC7">
      <w:pPr>
        <w:jc w:val="both"/>
      </w:pPr>
      <w:r>
        <w:t>Razlog znatnog smanjenja realizacije prihoda je slabija naplata prihoda po izdanim Rješenjima čiji rok plaćanja je bio 30.06.2026., a većih broj korisnika je obvezu platio na samom početku srpnja 2026. godine.</w:t>
      </w:r>
      <w:r>
        <w:br/>
        <w:t> </w:t>
      </w:r>
      <w:r>
        <w:br/>
        <w:t> </w:t>
      </w:r>
    </w:p>
    <w:p w14:paraId="0239C3DF" w14:textId="77777777" w:rsidR="00C445AE" w:rsidRDefault="00C445AE" w:rsidP="00742AC7">
      <w:pPr>
        <w:jc w:val="both"/>
      </w:pPr>
    </w:p>
    <w:p w14:paraId="7D1C0033" w14:textId="77777777" w:rsidR="00C445AE" w:rsidRDefault="00000000" w:rsidP="00742AC7">
      <w:pPr>
        <w:keepNext/>
        <w:spacing w:line="240" w:lineRule="auto"/>
        <w:jc w:val="both"/>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41E0B7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409B97"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79DD262"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C9CF456"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C564EF3"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61F9399"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46E2DD2" w14:textId="77777777" w:rsidR="00C445AE" w:rsidRDefault="00000000" w:rsidP="00742AC7">
            <w:pPr>
              <w:keepNext/>
              <w:keepLines/>
              <w:spacing w:after="0" w:line="240" w:lineRule="auto"/>
              <w:jc w:val="both"/>
            </w:pPr>
            <w:r>
              <w:rPr>
                <w:b/>
                <w:sz w:val="18"/>
              </w:rPr>
              <w:t>Indeks (%)</w:t>
            </w:r>
          </w:p>
        </w:tc>
      </w:tr>
      <w:tr w:rsidR="00C445AE" w14:paraId="094F686D" w14:textId="77777777">
        <w:tblPrEx>
          <w:tblCellMar>
            <w:top w:w="0" w:type="dxa"/>
            <w:bottom w:w="0" w:type="dxa"/>
          </w:tblCellMar>
        </w:tblPrEx>
        <w:trPr>
          <w:cantSplit/>
          <w:trHeight w:val="560"/>
        </w:trPr>
        <w:tc>
          <w:tcPr>
            <w:tcW w:w="700" w:type="dxa"/>
            <w:tcMar>
              <w:top w:w="0" w:type="dxa"/>
              <w:bottom w:w="0" w:type="dxa"/>
            </w:tcMar>
            <w:vAlign w:val="center"/>
          </w:tcPr>
          <w:p w14:paraId="64FD6CB1" w14:textId="77777777" w:rsidR="00C445AE" w:rsidRDefault="00000000" w:rsidP="00742AC7">
            <w:pPr>
              <w:keepNext/>
              <w:keepLines/>
              <w:spacing w:after="0" w:line="240" w:lineRule="auto"/>
              <w:jc w:val="both"/>
            </w:pPr>
            <w:r>
              <w:rPr>
                <w:sz w:val="18"/>
              </w:rPr>
              <w:t>65</w:t>
            </w:r>
          </w:p>
        </w:tc>
        <w:tc>
          <w:tcPr>
            <w:tcW w:w="3180" w:type="dxa"/>
            <w:tcMar>
              <w:top w:w="0" w:type="dxa"/>
              <w:bottom w:w="0" w:type="dxa"/>
            </w:tcMar>
            <w:vAlign w:val="center"/>
          </w:tcPr>
          <w:p w14:paraId="693FC1D4" w14:textId="77777777" w:rsidR="00C445AE" w:rsidRDefault="00000000" w:rsidP="00742AC7">
            <w:pPr>
              <w:keepNext/>
              <w:keepLines/>
              <w:spacing w:after="0" w:line="240" w:lineRule="auto"/>
              <w:jc w:val="both"/>
            </w:pPr>
            <w:r>
              <w:rPr>
                <w:sz w:val="18"/>
              </w:rPr>
              <w:t>Prihodi od upravnih i administrativnih pristojbi, pristojbi po posebnim propisima i naknada (šifre 651+652+653+654)</w:t>
            </w:r>
          </w:p>
        </w:tc>
        <w:tc>
          <w:tcPr>
            <w:tcW w:w="700" w:type="dxa"/>
            <w:tcMar>
              <w:top w:w="0" w:type="dxa"/>
              <w:bottom w:w="0" w:type="dxa"/>
            </w:tcMar>
            <w:vAlign w:val="center"/>
          </w:tcPr>
          <w:p w14:paraId="4DFBC1B3" w14:textId="77777777" w:rsidR="00C445AE" w:rsidRDefault="00000000" w:rsidP="00742AC7">
            <w:pPr>
              <w:keepNext/>
              <w:keepLines/>
              <w:spacing w:after="0" w:line="240" w:lineRule="auto"/>
              <w:jc w:val="both"/>
            </w:pPr>
            <w:r>
              <w:rPr>
                <w:sz w:val="18"/>
              </w:rPr>
              <w:t>65</w:t>
            </w:r>
          </w:p>
        </w:tc>
        <w:tc>
          <w:tcPr>
            <w:tcW w:w="1860" w:type="dxa"/>
            <w:tcMar>
              <w:top w:w="0" w:type="dxa"/>
              <w:bottom w:w="0" w:type="dxa"/>
            </w:tcMar>
            <w:vAlign w:val="center"/>
          </w:tcPr>
          <w:p w14:paraId="4E42C824" w14:textId="77777777" w:rsidR="00C445AE" w:rsidRDefault="00000000" w:rsidP="00742AC7">
            <w:pPr>
              <w:keepNext/>
              <w:keepLines/>
              <w:spacing w:after="0" w:line="240" w:lineRule="auto"/>
              <w:jc w:val="both"/>
            </w:pPr>
            <w:r>
              <w:rPr>
                <w:sz w:val="18"/>
              </w:rPr>
              <w:t>581.375,25</w:t>
            </w:r>
          </w:p>
        </w:tc>
        <w:tc>
          <w:tcPr>
            <w:tcW w:w="1860" w:type="dxa"/>
            <w:tcMar>
              <w:top w:w="0" w:type="dxa"/>
              <w:bottom w:w="0" w:type="dxa"/>
            </w:tcMar>
            <w:vAlign w:val="center"/>
          </w:tcPr>
          <w:p w14:paraId="7304FE4B" w14:textId="77777777" w:rsidR="00C445AE" w:rsidRDefault="00000000" w:rsidP="00742AC7">
            <w:pPr>
              <w:keepNext/>
              <w:keepLines/>
              <w:spacing w:after="0" w:line="240" w:lineRule="auto"/>
              <w:jc w:val="both"/>
            </w:pPr>
            <w:r>
              <w:rPr>
                <w:sz w:val="18"/>
              </w:rPr>
              <w:t>879.658,54</w:t>
            </w:r>
          </w:p>
        </w:tc>
        <w:tc>
          <w:tcPr>
            <w:tcW w:w="700" w:type="dxa"/>
            <w:tcMar>
              <w:top w:w="0" w:type="dxa"/>
              <w:bottom w:w="0" w:type="dxa"/>
            </w:tcMar>
            <w:vAlign w:val="center"/>
          </w:tcPr>
          <w:p w14:paraId="219C6EB2" w14:textId="77777777" w:rsidR="00C445AE" w:rsidRDefault="00000000" w:rsidP="00742AC7">
            <w:pPr>
              <w:keepNext/>
              <w:keepLines/>
              <w:spacing w:after="0" w:line="240" w:lineRule="auto"/>
              <w:jc w:val="both"/>
            </w:pPr>
            <w:r>
              <w:rPr>
                <w:sz w:val="18"/>
              </w:rPr>
              <w:t>151,3</w:t>
            </w:r>
          </w:p>
        </w:tc>
      </w:tr>
    </w:tbl>
    <w:p w14:paraId="4665D532" w14:textId="77777777" w:rsidR="00C445AE" w:rsidRDefault="00C445AE" w:rsidP="00742AC7">
      <w:pPr>
        <w:spacing w:after="0"/>
        <w:jc w:val="both"/>
      </w:pPr>
    </w:p>
    <w:p w14:paraId="4BB0B076" w14:textId="77777777" w:rsidR="00C445AE" w:rsidRDefault="00000000" w:rsidP="00742AC7">
      <w:pPr>
        <w:jc w:val="both"/>
      </w:pPr>
      <w:r>
        <w:t>Prihodi od upravnih i administrativnih pristojbi, pristojbi po posebnim propisima i naknada (šifre 651+652+653+654)  65 ostvareni su u iznosu od 581.375,25 EUR odnosno sa 51,3%  više u odnosu na prošlu godinu u istom izvještajnom razdoblju kad su ostvareni u iznosu od 879.658,54 EUR.</w:t>
      </w:r>
      <w:r>
        <w:br/>
        <w:t>Razlog znatnog povećanja ovih prihoda je povećana realizacija naplate prihoda od komunalne naknade i komunalnih odnosa (gore pojašnjeno).</w:t>
      </w:r>
    </w:p>
    <w:p w14:paraId="546E7BC7" w14:textId="77777777" w:rsidR="00C445AE" w:rsidRDefault="00000000" w:rsidP="00742AC7">
      <w:pPr>
        <w:jc w:val="both"/>
      </w:pPr>
      <w:r>
        <w:br/>
      </w:r>
    </w:p>
    <w:p w14:paraId="2D8F6420" w14:textId="77777777" w:rsidR="00C445AE" w:rsidRDefault="00C445AE" w:rsidP="00742AC7">
      <w:pPr>
        <w:jc w:val="both"/>
      </w:pPr>
    </w:p>
    <w:p w14:paraId="7100E980" w14:textId="77777777" w:rsidR="00C445AE" w:rsidRDefault="00000000" w:rsidP="00742AC7">
      <w:pPr>
        <w:keepNext/>
        <w:spacing w:line="240" w:lineRule="auto"/>
        <w:jc w:val="both"/>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0ADBBF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0AD773"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F82BAB"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0B0379B"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3521225"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E8EF14E"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CCC0B57" w14:textId="77777777" w:rsidR="00C445AE" w:rsidRDefault="00000000" w:rsidP="00742AC7">
            <w:pPr>
              <w:keepNext/>
              <w:keepLines/>
              <w:spacing w:after="0" w:line="240" w:lineRule="auto"/>
              <w:jc w:val="both"/>
            </w:pPr>
            <w:r>
              <w:rPr>
                <w:b/>
                <w:sz w:val="18"/>
              </w:rPr>
              <w:t>Indeks (%)</w:t>
            </w:r>
          </w:p>
        </w:tc>
      </w:tr>
      <w:tr w:rsidR="00C445AE" w14:paraId="26427BAC" w14:textId="77777777">
        <w:tblPrEx>
          <w:tblCellMar>
            <w:top w:w="0" w:type="dxa"/>
            <w:bottom w:w="0" w:type="dxa"/>
          </w:tblCellMar>
        </w:tblPrEx>
        <w:trPr>
          <w:cantSplit/>
          <w:trHeight w:val="560"/>
        </w:trPr>
        <w:tc>
          <w:tcPr>
            <w:tcW w:w="700" w:type="dxa"/>
            <w:tcMar>
              <w:top w:w="0" w:type="dxa"/>
              <w:bottom w:w="0" w:type="dxa"/>
            </w:tcMar>
            <w:vAlign w:val="center"/>
          </w:tcPr>
          <w:p w14:paraId="2B4C9D7C" w14:textId="77777777" w:rsidR="00C445AE" w:rsidRDefault="00000000" w:rsidP="00742AC7">
            <w:pPr>
              <w:keepNext/>
              <w:keepLines/>
              <w:spacing w:after="0" w:line="240" w:lineRule="auto"/>
              <w:jc w:val="both"/>
            </w:pPr>
            <w:r>
              <w:rPr>
                <w:sz w:val="18"/>
              </w:rPr>
              <w:t>6526</w:t>
            </w:r>
          </w:p>
        </w:tc>
        <w:tc>
          <w:tcPr>
            <w:tcW w:w="3180" w:type="dxa"/>
            <w:tcMar>
              <w:top w:w="0" w:type="dxa"/>
              <w:bottom w:w="0" w:type="dxa"/>
            </w:tcMar>
            <w:vAlign w:val="center"/>
          </w:tcPr>
          <w:p w14:paraId="35425771" w14:textId="77777777" w:rsidR="00C445AE" w:rsidRDefault="00000000" w:rsidP="00742AC7">
            <w:pPr>
              <w:keepNext/>
              <w:keepLines/>
              <w:spacing w:after="0" w:line="240" w:lineRule="auto"/>
              <w:jc w:val="both"/>
            </w:pPr>
            <w:r>
              <w:rPr>
                <w:sz w:val="18"/>
              </w:rPr>
              <w:t>Ostali nespomenuti prihodi</w:t>
            </w:r>
          </w:p>
        </w:tc>
        <w:tc>
          <w:tcPr>
            <w:tcW w:w="700" w:type="dxa"/>
            <w:tcMar>
              <w:top w:w="0" w:type="dxa"/>
              <w:bottom w:w="0" w:type="dxa"/>
            </w:tcMar>
            <w:vAlign w:val="center"/>
          </w:tcPr>
          <w:p w14:paraId="4D216922" w14:textId="77777777" w:rsidR="00C445AE" w:rsidRDefault="00000000" w:rsidP="00742AC7">
            <w:pPr>
              <w:keepNext/>
              <w:keepLines/>
              <w:spacing w:after="0" w:line="240" w:lineRule="auto"/>
              <w:jc w:val="both"/>
            </w:pPr>
            <w:r>
              <w:rPr>
                <w:sz w:val="18"/>
              </w:rPr>
              <w:t>6526</w:t>
            </w:r>
          </w:p>
        </w:tc>
        <w:tc>
          <w:tcPr>
            <w:tcW w:w="1860" w:type="dxa"/>
            <w:tcMar>
              <w:top w:w="0" w:type="dxa"/>
              <w:bottom w:w="0" w:type="dxa"/>
            </w:tcMar>
            <w:vAlign w:val="center"/>
          </w:tcPr>
          <w:p w14:paraId="15CB2A73" w14:textId="77777777" w:rsidR="00C445AE" w:rsidRDefault="00000000" w:rsidP="00742AC7">
            <w:pPr>
              <w:keepNext/>
              <w:keepLines/>
              <w:spacing w:after="0" w:line="240" w:lineRule="auto"/>
              <w:jc w:val="both"/>
            </w:pPr>
            <w:r>
              <w:rPr>
                <w:sz w:val="18"/>
              </w:rPr>
              <w:t>182.544,08</w:t>
            </w:r>
          </w:p>
        </w:tc>
        <w:tc>
          <w:tcPr>
            <w:tcW w:w="1860" w:type="dxa"/>
            <w:tcMar>
              <w:top w:w="0" w:type="dxa"/>
              <w:bottom w:w="0" w:type="dxa"/>
            </w:tcMar>
            <w:vAlign w:val="center"/>
          </w:tcPr>
          <w:p w14:paraId="2E28433D" w14:textId="77777777" w:rsidR="00C445AE" w:rsidRDefault="00000000" w:rsidP="00742AC7">
            <w:pPr>
              <w:keepNext/>
              <w:keepLines/>
              <w:spacing w:after="0" w:line="240" w:lineRule="auto"/>
              <w:jc w:val="both"/>
            </w:pPr>
            <w:r>
              <w:rPr>
                <w:sz w:val="18"/>
              </w:rPr>
              <w:t>87.744,34</w:t>
            </w:r>
          </w:p>
        </w:tc>
        <w:tc>
          <w:tcPr>
            <w:tcW w:w="700" w:type="dxa"/>
            <w:tcMar>
              <w:top w:w="0" w:type="dxa"/>
              <w:bottom w:w="0" w:type="dxa"/>
            </w:tcMar>
            <w:vAlign w:val="center"/>
          </w:tcPr>
          <w:p w14:paraId="59A83D3F" w14:textId="77777777" w:rsidR="00C445AE" w:rsidRDefault="00000000" w:rsidP="00742AC7">
            <w:pPr>
              <w:keepNext/>
              <w:keepLines/>
              <w:spacing w:after="0" w:line="240" w:lineRule="auto"/>
              <w:jc w:val="both"/>
            </w:pPr>
            <w:r>
              <w:rPr>
                <w:sz w:val="18"/>
              </w:rPr>
              <w:t>48,1</w:t>
            </w:r>
          </w:p>
        </w:tc>
      </w:tr>
    </w:tbl>
    <w:p w14:paraId="5F8F2A88" w14:textId="77777777" w:rsidR="00C445AE" w:rsidRDefault="00C445AE" w:rsidP="00742AC7">
      <w:pPr>
        <w:spacing w:after="0"/>
        <w:jc w:val="both"/>
      </w:pPr>
    </w:p>
    <w:p w14:paraId="125F9454" w14:textId="77777777" w:rsidR="00C445AE" w:rsidRDefault="00000000" w:rsidP="00742AC7">
      <w:pPr>
        <w:jc w:val="both"/>
      </w:pPr>
      <w:r>
        <w:t>Ostali nespomenuti prihodi (šifra 6526)  ostvareni su u iznosu od 87.744,34 EUR odnosno sa 48,1 % u odnosu na prošlu godinu u istom izvještajnom razdoblju kad su ostvareni u iznosu od 182.544,08 EUR.</w:t>
      </w:r>
      <w:r>
        <w:br/>
        <w:t>Ovi prihodi najvećim dijelom se odnose na prihode od naplate parkinga i ove godine su upola manji iz razloga zatvaranja najvećeg parkirališta kojeg imamo u općini Fažana, od kojeg su pristizali najveći prihodi.</w:t>
      </w:r>
    </w:p>
    <w:p w14:paraId="77CA03B9" w14:textId="77777777" w:rsidR="00C445AE" w:rsidRDefault="00000000" w:rsidP="00742AC7">
      <w:pPr>
        <w:jc w:val="both"/>
      </w:pPr>
      <w:r>
        <w:t> </w:t>
      </w:r>
    </w:p>
    <w:p w14:paraId="1BFDCCAA" w14:textId="77777777" w:rsidR="00C445AE" w:rsidRDefault="00000000" w:rsidP="00742AC7">
      <w:pPr>
        <w:jc w:val="both"/>
      </w:pPr>
      <w:r>
        <w:lastRenderedPageBreak/>
        <w:br/>
      </w:r>
    </w:p>
    <w:p w14:paraId="72A1645B" w14:textId="77777777" w:rsidR="00C445AE" w:rsidRDefault="00C445AE" w:rsidP="00742AC7">
      <w:pPr>
        <w:jc w:val="both"/>
      </w:pPr>
    </w:p>
    <w:p w14:paraId="3493E5A7" w14:textId="77777777" w:rsidR="00C445AE" w:rsidRDefault="00000000" w:rsidP="00742AC7">
      <w:pPr>
        <w:keepNext/>
        <w:spacing w:line="240" w:lineRule="auto"/>
        <w:jc w:val="both"/>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4BC9B6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8DE1568"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E7F32C"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F68C842"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1D76DC2"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09A86E3"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335A362" w14:textId="77777777" w:rsidR="00C445AE" w:rsidRDefault="00000000" w:rsidP="00742AC7">
            <w:pPr>
              <w:keepNext/>
              <w:keepLines/>
              <w:spacing w:after="0" w:line="240" w:lineRule="auto"/>
              <w:jc w:val="both"/>
            </w:pPr>
            <w:r>
              <w:rPr>
                <w:b/>
                <w:sz w:val="18"/>
              </w:rPr>
              <w:t>Indeks (%)</w:t>
            </w:r>
          </w:p>
        </w:tc>
      </w:tr>
      <w:tr w:rsidR="00C445AE" w14:paraId="79FF2B27" w14:textId="77777777">
        <w:tblPrEx>
          <w:tblCellMar>
            <w:top w:w="0" w:type="dxa"/>
            <w:bottom w:w="0" w:type="dxa"/>
          </w:tblCellMar>
        </w:tblPrEx>
        <w:trPr>
          <w:cantSplit/>
          <w:trHeight w:val="560"/>
        </w:trPr>
        <w:tc>
          <w:tcPr>
            <w:tcW w:w="700" w:type="dxa"/>
            <w:tcMar>
              <w:top w:w="0" w:type="dxa"/>
              <w:bottom w:w="0" w:type="dxa"/>
            </w:tcMar>
            <w:vAlign w:val="center"/>
          </w:tcPr>
          <w:p w14:paraId="145EB271" w14:textId="77777777" w:rsidR="00C445AE" w:rsidRDefault="00000000" w:rsidP="00742AC7">
            <w:pPr>
              <w:keepNext/>
              <w:keepLines/>
              <w:spacing w:after="0" w:line="240" w:lineRule="auto"/>
              <w:jc w:val="both"/>
            </w:pPr>
            <w:r>
              <w:rPr>
                <w:sz w:val="18"/>
              </w:rPr>
              <w:t>653</w:t>
            </w:r>
          </w:p>
        </w:tc>
        <w:tc>
          <w:tcPr>
            <w:tcW w:w="3180" w:type="dxa"/>
            <w:tcMar>
              <w:top w:w="0" w:type="dxa"/>
              <w:bottom w:w="0" w:type="dxa"/>
            </w:tcMar>
            <w:vAlign w:val="center"/>
          </w:tcPr>
          <w:p w14:paraId="0FF06794" w14:textId="77777777" w:rsidR="00C445AE" w:rsidRDefault="00000000" w:rsidP="00742AC7">
            <w:pPr>
              <w:keepNext/>
              <w:keepLines/>
              <w:spacing w:after="0" w:line="240" w:lineRule="auto"/>
              <w:jc w:val="both"/>
            </w:pPr>
            <w:r>
              <w:rPr>
                <w:sz w:val="18"/>
              </w:rPr>
              <w:t>Komunalni doprinosi i naknade (šifre 6531 do 6533)</w:t>
            </w:r>
          </w:p>
        </w:tc>
        <w:tc>
          <w:tcPr>
            <w:tcW w:w="700" w:type="dxa"/>
            <w:tcMar>
              <w:top w:w="0" w:type="dxa"/>
              <w:bottom w:w="0" w:type="dxa"/>
            </w:tcMar>
            <w:vAlign w:val="center"/>
          </w:tcPr>
          <w:p w14:paraId="14C25A08" w14:textId="77777777" w:rsidR="00C445AE" w:rsidRDefault="00000000" w:rsidP="00742AC7">
            <w:pPr>
              <w:keepNext/>
              <w:keepLines/>
              <w:spacing w:after="0" w:line="240" w:lineRule="auto"/>
              <w:jc w:val="both"/>
            </w:pPr>
            <w:r>
              <w:rPr>
                <w:sz w:val="18"/>
              </w:rPr>
              <w:t>653</w:t>
            </w:r>
          </w:p>
        </w:tc>
        <w:tc>
          <w:tcPr>
            <w:tcW w:w="1860" w:type="dxa"/>
            <w:tcMar>
              <w:top w:w="0" w:type="dxa"/>
              <w:bottom w:w="0" w:type="dxa"/>
            </w:tcMar>
            <w:vAlign w:val="center"/>
          </w:tcPr>
          <w:p w14:paraId="7F04A065" w14:textId="77777777" w:rsidR="00C445AE" w:rsidRDefault="00000000" w:rsidP="00742AC7">
            <w:pPr>
              <w:keepNext/>
              <w:keepLines/>
              <w:spacing w:after="0" w:line="240" w:lineRule="auto"/>
              <w:jc w:val="both"/>
            </w:pPr>
            <w:r>
              <w:rPr>
                <w:sz w:val="18"/>
              </w:rPr>
              <w:t>202.690,43</w:t>
            </w:r>
          </w:p>
        </w:tc>
        <w:tc>
          <w:tcPr>
            <w:tcW w:w="1860" w:type="dxa"/>
            <w:tcMar>
              <w:top w:w="0" w:type="dxa"/>
              <w:bottom w:w="0" w:type="dxa"/>
            </w:tcMar>
            <w:vAlign w:val="center"/>
          </w:tcPr>
          <w:p w14:paraId="6F8A4B6F" w14:textId="77777777" w:rsidR="00C445AE" w:rsidRDefault="00000000" w:rsidP="00742AC7">
            <w:pPr>
              <w:keepNext/>
              <w:keepLines/>
              <w:spacing w:after="0" w:line="240" w:lineRule="auto"/>
              <w:jc w:val="both"/>
            </w:pPr>
            <w:r>
              <w:rPr>
                <w:sz w:val="18"/>
              </w:rPr>
              <w:t>595.498,80</w:t>
            </w:r>
          </w:p>
        </w:tc>
        <w:tc>
          <w:tcPr>
            <w:tcW w:w="700" w:type="dxa"/>
            <w:tcMar>
              <w:top w:w="0" w:type="dxa"/>
              <w:bottom w:w="0" w:type="dxa"/>
            </w:tcMar>
            <w:vAlign w:val="center"/>
          </w:tcPr>
          <w:p w14:paraId="277CCE32" w14:textId="77777777" w:rsidR="00C445AE" w:rsidRDefault="00000000" w:rsidP="00742AC7">
            <w:pPr>
              <w:keepNext/>
              <w:keepLines/>
              <w:spacing w:after="0" w:line="240" w:lineRule="auto"/>
              <w:jc w:val="both"/>
            </w:pPr>
            <w:r>
              <w:rPr>
                <w:sz w:val="18"/>
              </w:rPr>
              <w:t>293,8</w:t>
            </w:r>
          </w:p>
        </w:tc>
      </w:tr>
    </w:tbl>
    <w:p w14:paraId="4D2772F3" w14:textId="77777777" w:rsidR="00C445AE" w:rsidRDefault="00C445AE" w:rsidP="00742AC7">
      <w:pPr>
        <w:spacing w:after="0"/>
        <w:jc w:val="both"/>
      </w:pPr>
    </w:p>
    <w:p w14:paraId="7D71B0CF" w14:textId="77777777" w:rsidR="00C445AE" w:rsidRDefault="00000000" w:rsidP="00742AC7">
      <w:pPr>
        <w:jc w:val="both"/>
      </w:pPr>
      <w:r>
        <w:t>Komunalni doprinosi i naknade (šifre 6531 do 6533) 653 ostvareni su u iznosu od 202.690,43 EUR odnosno sa 293,8 % u odnosu na prošlu godinu u istom izvještajnom razdoblju kad su ostvareni u iznosu od 595.498,80 EUR.</w:t>
      </w:r>
      <w:r>
        <w:br/>
        <w:t>Razlog povećanju ovih prihoda je bolja naplata po istima, te pravovremeno izdavanje novih Rješenja o komunalnoj naknadi i doprinosa, te slanje opomena dužnicima. </w:t>
      </w:r>
    </w:p>
    <w:p w14:paraId="0D9901EB" w14:textId="77777777" w:rsidR="00C445AE" w:rsidRDefault="00C445AE" w:rsidP="00742AC7">
      <w:pPr>
        <w:jc w:val="both"/>
      </w:pPr>
    </w:p>
    <w:p w14:paraId="41EB4CA4" w14:textId="77777777" w:rsidR="00C445AE" w:rsidRDefault="00000000" w:rsidP="00742AC7">
      <w:pPr>
        <w:keepNext/>
        <w:spacing w:line="240" w:lineRule="auto"/>
        <w:jc w:val="both"/>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557532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E81939"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1CA442"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6D637E4"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32AFD59"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345F8CE"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E66B687" w14:textId="77777777" w:rsidR="00C445AE" w:rsidRDefault="00000000" w:rsidP="00742AC7">
            <w:pPr>
              <w:keepNext/>
              <w:keepLines/>
              <w:spacing w:after="0" w:line="240" w:lineRule="auto"/>
              <w:jc w:val="both"/>
            </w:pPr>
            <w:r>
              <w:rPr>
                <w:b/>
                <w:sz w:val="18"/>
              </w:rPr>
              <w:t>Indeks (%)</w:t>
            </w:r>
          </w:p>
        </w:tc>
      </w:tr>
      <w:tr w:rsidR="00C445AE" w14:paraId="4914F10C" w14:textId="77777777">
        <w:tblPrEx>
          <w:tblCellMar>
            <w:top w:w="0" w:type="dxa"/>
            <w:bottom w:w="0" w:type="dxa"/>
          </w:tblCellMar>
        </w:tblPrEx>
        <w:trPr>
          <w:cantSplit/>
          <w:trHeight w:val="560"/>
        </w:trPr>
        <w:tc>
          <w:tcPr>
            <w:tcW w:w="700" w:type="dxa"/>
            <w:tcMar>
              <w:top w:w="0" w:type="dxa"/>
              <w:bottom w:w="0" w:type="dxa"/>
            </w:tcMar>
            <w:vAlign w:val="center"/>
          </w:tcPr>
          <w:p w14:paraId="0C253A2A" w14:textId="77777777" w:rsidR="00C445AE" w:rsidRDefault="00000000" w:rsidP="00742AC7">
            <w:pPr>
              <w:keepNext/>
              <w:keepLines/>
              <w:spacing w:after="0" w:line="240" w:lineRule="auto"/>
              <w:jc w:val="both"/>
            </w:pPr>
            <w:r>
              <w:rPr>
                <w:sz w:val="18"/>
              </w:rPr>
              <w:t>68</w:t>
            </w:r>
          </w:p>
        </w:tc>
        <w:tc>
          <w:tcPr>
            <w:tcW w:w="3180" w:type="dxa"/>
            <w:tcMar>
              <w:top w:w="0" w:type="dxa"/>
              <w:bottom w:w="0" w:type="dxa"/>
            </w:tcMar>
            <w:vAlign w:val="center"/>
          </w:tcPr>
          <w:p w14:paraId="0B351CA7" w14:textId="77777777" w:rsidR="00C445AE" w:rsidRDefault="00000000" w:rsidP="00742AC7">
            <w:pPr>
              <w:keepNext/>
              <w:keepLines/>
              <w:spacing w:after="0" w:line="240" w:lineRule="auto"/>
              <w:jc w:val="both"/>
            </w:pPr>
            <w:r>
              <w:rPr>
                <w:sz w:val="18"/>
              </w:rPr>
              <w:t>Kazne, upravne mjere i ostali prihodi (šifre 681+683)</w:t>
            </w:r>
          </w:p>
        </w:tc>
        <w:tc>
          <w:tcPr>
            <w:tcW w:w="700" w:type="dxa"/>
            <w:tcMar>
              <w:top w:w="0" w:type="dxa"/>
              <w:bottom w:w="0" w:type="dxa"/>
            </w:tcMar>
            <w:vAlign w:val="center"/>
          </w:tcPr>
          <w:p w14:paraId="0F98D969" w14:textId="77777777" w:rsidR="00C445AE" w:rsidRDefault="00000000" w:rsidP="00742AC7">
            <w:pPr>
              <w:keepNext/>
              <w:keepLines/>
              <w:spacing w:after="0" w:line="240" w:lineRule="auto"/>
              <w:jc w:val="both"/>
            </w:pPr>
            <w:r>
              <w:rPr>
                <w:sz w:val="18"/>
              </w:rPr>
              <w:t>68</w:t>
            </w:r>
          </w:p>
        </w:tc>
        <w:tc>
          <w:tcPr>
            <w:tcW w:w="1860" w:type="dxa"/>
            <w:tcMar>
              <w:top w:w="0" w:type="dxa"/>
              <w:bottom w:w="0" w:type="dxa"/>
            </w:tcMar>
            <w:vAlign w:val="center"/>
          </w:tcPr>
          <w:p w14:paraId="75D94118" w14:textId="77777777" w:rsidR="00C445AE" w:rsidRDefault="00000000" w:rsidP="00742AC7">
            <w:pPr>
              <w:keepNext/>
              <w:keepLines/>
              <w:spacing w:after="0" w:line="240" w:lineRule="auto"/>
              <w:jc w:val="both"/>
            </w:pPr>
            <w:r>
              <w:rPr>
                <w:sz w:val="18"/>
              </w:rPr>
              <w:t>2.286,43</w:t>
            </w:r>
          </w:p>
        </w:tc>
        <w:tc>
          <w:tcPr>
            <w:tcW w:w="1860" w:type="dxa"/>
            <w:tcMar>
              <w:top w:w="0" w:type="dxa"/>
              <w:bottom w:w="0" w:type="dxa"/>
            </w:tcMar>
            <w:vAlign w:val="center"/>
          </w:tcPr>
          <w:p w14:paraId="2AA33F83" w14:textId="77777777" w:rsidR="00C445AE" w:rsidRDefault="00000000" w:rsidP="00742AC7">
            <w:pPr>
              <w:keepNext/>
              <w:keepLines/>
              <w:spacing w:after="0" w:line="240" w:lineRule="auto"/>
              <w:jc w:val="both"/>
            </w:pPr>
            <w:r>
              <w:rPr>
                <w:sz w:val="18"/>
              </w:rPr>
              <w:t>705,00</w:t>
            </w:r>
          </w:p>
        </w:tc>
        <w:tc>
          <w:tcPr>
            <w:tcW w:w="700" w:type="dxa"/>
            <w:tcMar>
              <w:top w:w="0" w:type="dxa"/>
              <w:bottom w:w="0" w:type="dxa"/>
            </w:tcMar>
            <w:vAlign w:val="center"/>
          </w:tcPr>
          <w:p w14:paraId="53C85FED" w14:textId="77777777" w:rsidR="00C445AE" w:rsidRDefault="00000000" w:rsidP="00742AC7">
            <w:pPr>
              <w:keepNext/>
              <w:keepLines/>
              <w:spacing w:after="0" w:line="240" w:lineRule="auto"/>
              <w:jc w:val="both"/>
            </w:pPr>
            <w:r>
              <w:rPr>
                <w:sz w:val="18"/>
              </w:rPr>
              <w:t>30,8</w:t>
            </w:r>
          </w:p>
        </w:tc>
      </w:tr>
    </w:tbl>
    <w:p w14:paraId="43702D0E" w14:textId="77777777" w:rsidR="00C445AE" w:rsidRDefault="00C445AE" w:rsidP="00742AC7">
      <w:pPr>
        <w:spacing w:after="0"/>
        <w:jc w:val="both"/>
      </w:pPr>
    </w:p>
    <w:p w14:paraId="417D47CE" w14:textId="77777777" w:rsidR="00C445AE" w:rsidRDefault="00000000" w:rsidP="00742AC7">
      <w:pPr>
        <w:jc w:val="both"/>
      </w:pPr>
      <w:r>
        <w:t>Kazne, upravne mjere i ostali prihodi (šifre 681+683) 68  ostvareni su u iznosu od  2.286,43 EUR odnosno sa 30,8 % u odnosu na prošlu godinu u istom izvještajnom razdoblju kad su ostvareni u iznosu od 705,00 EUR. Ovi prihodi su manje realizirani u izvještajnom razdoblju zbog neostvarenih ostalih prihoda (šifre 683) kojih smo imali u 2025. godini (u istom razdoblju) kad su ostvareni povrati u proračun po raznim osnovama (povrati pretplata i sl.).</w:t>
      </w:r>
    </w:p>
    <w:p w14:paraId="7E387BE1" w14:textId="77777777" w:rsidR="00C445AE" w:rsidRDefault="00000000" w:rsidP="00742AC7">
      <w:pPr>
        <w:jc w:val="both"/>
      </w:pPr>
      <w:r>
        <w:br/>
      </w:r>
    </w:p>
    <w:p w14:paraId="57F562F8" w14:textId="77777777" w:rsidR="00C445AE" w:rsidRDefault="00C445AE" w:rsidP="00742AC7">
      <w:pPr>
        <w:jc w:val="both"/>
      </w:pPr>
    </w:p>
    <w:p w14:paraId="7BE2A439" w14:textId="77777777" w:rsidR="00C445AE" w:rsidRDefault="00000000" w:rsidP="00742AC7">
      <w:pPr>
        <w:keepNext/>
        <w:spacing w:line="240" w:lineRule="auto"/>
        <w:jc w:val="both"/>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62B526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C320A2"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C7BF7F"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20A1A0B"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895E699"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9BC43D0"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682604C" w14:textId="77777777" w:rsidR="00C445AE" w:rsidRDefault="00000000" w:rsidP="00742AC7">
            <w:pPr>
              <w:keepNext/>
              <w:keepLines/>
              <w:spacing w:after="0" w:line="240" w:lineRule="auto"/>
              <w:jc w:val="both"/>
            </w:pPr>
            <w:r>
              <w:rPr>
                <w:b/>
                <w:sz w:val="18"/>
              </w:rPr>
              <w:t>Indeks (%)</w:t>
            </w:r>
          </w:p>
        </w:tc>
      </w:tr>
      <w:tr w:rsidR="00C445AE" w14:paraId="3C384A78" w14:textId="77777777">
        <w:tblPrEx>
          <w:tblCellMar>
            <w:top w:w="0" w:type="dxa"/>
            <w:bottom w:w="0" w:type="dxa"/>
          </w:tblCellMar>
        </w:tblPrEx>
        <w:trPr>
          <w:cantSplit/>
          <w:trHeight w:val="560"/>
        </w:trPr>
        <w:tc>
          <w:tcPr>
            <w:tcW w:w="700" w:type="dxa"/>
            <w:tcMar>
              <w:top w:w="0" w:type="dxa"/>
              <w:bottom w:w="0" w:type="dxa"/>
            </w:tcMar>
            <w:vAlign w:val="center"/>
          </w:tcPr>
          <w:p w14:paraId="5A8DA70F" w14:textId="77777777" w:rsidR="00C445AE" w:rsidRDefault="00000000" w:rsidP="00742AC7">
            <w:pPr>
              <w:keepNext/>
              <w:keepLines/>
              <w:spacing w:after="0" w:line="240" w:lineRule="auto"/>
              <w:jc w:val="both"/>
            </w:pPr>
            <w:r>
              <w:rPr>
                <w:sz w:val="18"/>
              </w:rPr>
              <w:t>3</w:t>
            </w:r>
          </w:p>
        </w:tc>
        <w:tc>
          <w:tcPr>
            <w:tcW w:w="3180" w:type="dxa"/>
            <w:tcMar>
              <w:top w:w="0" w:type="dxa"/>
              <w:bottom w:w="0" w:type="dxa"/>
            </w:tcMar>
            <w:vAlign w:val="center"/>
          </w:tcPr>
          <w:p w14:paraId="074ECC29" w14:textId="77777777" w:rsidR="00C445AE" w:rsidRDefault="00000000" w:rsidP="00742AC7">
            <w:pPr>
              <w:keepNext/>
              <w:keepLines/>
              <w:spacing w:after="0" w:line="240" w:lineRule="auto"/>
              <w:jc w:val="both"/>
            </w:pPr>
            <w:r>
              <w:rPr>
                <w:sz w:val="18"/>
              </w:rPr>
              <w:t>RASHODI POSLOVANJA (šifre 31+32+34+35+36+37+38)</w:t>
            </w:r>
          </w:p>
        </w:tc>
        <w:tc>
          <w:tcPr>
            <w:tcW w:w="700" w:type="dxa"/>
            <w:tcMar>
              <w:top w:w="0" w:type="dxa"/>
              <w:bottom w:w="0" w:type="dxa"/>
            </w:tcMar>
            <w:vAlign w:val="center"/>
          </w:tcPr>
          <w:p w14:paraId="74FAEEF9" w14:textId="77777777" w:rsidR="00C445AE" w:rsidRDefault="00000000" w:rsidP="00742AC7">
            <w:pPr>
              <w:keepNext/>
              <w:keepLines/>
              <w:spacing w:after="0" w:line="240" w:lineRule="auto"/>
              <w:jc w:val="both"/>
            </w:pPr>
            <w:r>
              <w:rPr>
                <w:sz w:val="18"/>
              </w:rPr>
              <w:t>3</w:t>
            </w:r>
          </w:p>
        </w:tc>
        <w:tc>
          <w:tcPr>
            <w:tcW w:w="1860" w:type="dxa"/>
            <w:tcMar>
              <w:top w:w="0" w:type="dxa"/>
              <w:bottom w:w="0" w:type="dxa"/>
            </w:tcMar>
            <w:vAlign w:val="center"/>
          </w:tcPr>
          <w:p w14:paraId="59AEBB7E" w14:textId="77777777" w:rsidR="00C445AE" w:rsidRDefault="00000000" w:rsidP="00742AC7">
            <w:pPr>
              <w:keepNext/>
              <w:keepLines/>
              <w:spacing w:after="0" w:line="240" w:lineRule="auto"/>
              <w:jc w:val="both"/>
            </w:pPr>
            <w:r>
              <w:rPr>
                <w:sz w:val="18"/>
              </w:rPr>
              <w:t>2.676.715,10</w:t>
            </w:r>
          </w:p>
        </w:tc>
        <w:tc>
          <w:tcPr>
            <w:tcW w:w="1860" w:type="dxa"/>
            <w:tcMar>
              <w:top w:w="0" w:type="dxa"/>
              <w:bottom w:w="0" w:type="dxa"/>
            </w:tcMar>
            <w:vAlign w:val="center"/>
          </w:tcPr>
          <w:p w14:paraId="1F5BC67D" w14:textId="77777777" w:rsidR="00C445AE" w:rsidRDefault="00000000" w:rsidP="00742AC7">
            <w:pPr>
              <w:keepNext/>
              <w:keepLines/>
              <w:spacing w:after="0" w:line="240" w:lineRule="auto"/>
              <w:jc w:val="both"/>
            </w:pPr>
            <w:r>
              <w:rPr>
                <w:sz w:val="18"/>
              </w:rPr>
              <w:t>2.592.848,04</w:t>
            </w:r>
          </w:p>
        </w:tc>
        <w:tc>
          <w:tcPr>
            <w:tcW w:w="700" w:type="dxa"/>
            <w:tcMar>
              <w:top w:w="0" w:type="dxa"/>
              <w:bottom w:w="0" w:type="dxa"/>
            </w:tcMar>
            <w:vAlign w:val="center"/>
          </w:tcPr>
          <w:p w14:paraId="1EDA6A9A" w14:textId="77777777" w:rsidR="00C445AE" w:rsidRDefault="00000000" w:rsidP="00742AC7">
            <w:pPr>
              <w:keepNext/>
              <w:keepLines/>
              <w:spacing w:after="0" w:line="240" w:lineRule="auto"/>
              <w:jc w:val="both"/>
            </w:pPr>
            <w:r>
              <w:rPr>
                <w:sz w:val="18"/>
              </w:rPr>
              <w:t>96,9</w:t>
            </w:r>
          </w:p>
        </w:tc>
      </w:tr>
    </w:tbl>
    <w:p w14:paraId="568DC418" w14:textId="77777777" w:rsidR="00C445AE" w:rsidRDefault="00C445AE" w:rsidP="00742AC7">
      <w:pPr>
        <w:spacing w:after="0"/>
        <w:jc w:val="both"/>
      </w:pPr>
    </w:p>
    <w:p w14:paraId="17A8B925" w14:textId="77777777" w:rsidR="00C445AE" w:rsidRDefault="00000000" w:rsidP="00742AC7">
      <w:pPr>
        <w:jc w:val="both"/>
      </w:pPr>
      <w:r>
        <w:t xml:space="preserve">RASHODI POSLOVANJA (šifre 31+32+34+35+36+37+38) su u izvještajnom razdoblju ostvareni u iznosu od 2.592.848,04 EUR odnosno sa 96,9% u odnosu na 2025. godinu kad su ostvareni u iznosu od 2.676.715,10 EUR. Iz navedenih podataka može se zaključiti da su rashodi bili gotovo na razini od prošle godine u istom razdoblju (ali to je samo u ukupnom </w:t>
      </w:r>
      <w:r>
        <w:lastRenderedPageBreak/>
        <w:t>iznosu, pojedinačno imamo i nekih većih odstupanja u plusu i minusu, što dalje u nastavku pojašnjavamo). </w:t>
      </w:r>
    </w:p>
    <w:p w14:paraId="3ED36D8C" w14:textId="77777777" w:rsidR="00C445AE" w:rsidRDefault="00C445AE" w:rsidP="00742AC7">
      <w:pPr>
        <w:jc w:val="both"/>
      </w:pPr>
    </w:p>
    <w:p w14:paraId="501E7B09" w14:textId="77777777" w:rsidR="00C445AE" w:rsidRDefault="00000000" w:rsidP="00742AC7">
      <w:pPr>
        <w:keepNext/>
        <w:spacing w:line="240" w:lineRule="auto"/>
        <w:jc w:val="both"/>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05AFA6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62E6AE"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3875F5"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611FC30"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B04A284"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BDB7D11"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E59CA38" w14:textId="77777777" w:rsidR="00C445AE" w:rsidRDefault="00000000" w:rsidP="00742AC7">
            <w:pPr>
              <w:keepNext/>
              <w:keepLines/>
              <w:spacing w:after="0" w:line="240" w:lineRule="auto"/>
              <w:jc w:val="both"/>
            </w:pPr>
            <w:r>
              <w:rPr>
                <w:b/>
                <w:sz w:val="18"/>
              </w:rPr>
              <w:t>Indeks (%)</w:t>
            </w:r>
          </w:p>
        </w:tc>
      </w:tr>
      <w:tr w:rsidR="00C445AE" w14:paraId="6E856356" w14:textId="77777777">
        <w:tblPrEx>
          <w:tblCellMar>
            <w:top w:w="0" w:type="dxa"/>
            <w:bottom w:w="0" w:type="dxa"/>
          </w:tblCellMar>
        </w:tblPrEx>
        <w:trPr>
          <w:cantSplit/>
          <w:trHeight w:val="560"/>
        </w:trPr>
        <w:tc>
          <w:tcPr>
            <w:tcW w:w="700" w:type="dxa"/>
            <w:tcMar>
              <w:top w:w="0" w:type="dxa"/>
              <w:bottom w:w="0" w:type="dxa"/>
            </w:tcMar>
            <w:vAlign w:val="center"/>
          </w:tcPr>
          <w:p w14:paraId="3E8F922A" w14:textId="77777777" w:rsidR="00C445AE" w:rsidRDefault="00000000" w:rsidP="00742AC7">
            <w:pPr>
              <w:keepNext/>
              <w:keepLines/>
              <w:spacing w:after="0" w:line="240" w:lineRule="auto"/>
              <w:jc w:val="both"/>
            </w:pPr>
            <w:r>
              <w:rPr>
                <w:sz w:val="18"/>
              </w:rPr>
              <w:t>31</w:t>
            </w:r>
          </w:p>
        </w:tc>
        <w:tc>
          <w:tcPr>
            <w:tcW w:w="3180" w:type="dxa"/>
            <w:tcMar>
              <w:top w:w="0" w:type="dxa"/>
              <w:bottom w:w="0" w:type="dxa"/>
            </w:tcMar>
            <w:vAlign w:val="center"/>
          </w:tcPr>
          <w:p w14:paraId="24E71972" w14:textId="77777777" w:rsidR="00C445AE" w:rsidRDefault="00000000" w:rsidP="00742AC7">
            <w:pPr>
              <w:keepNext/>
              <w:keepLines/>
              <w:spacing w:after="0" w:line="240" w:lineRule="auto"/>
              <w:jc w:val="both"/>
            </w:pPr>
            <w:r>
              <w:rPr>
                <w:sz w:val="18"/>
              </w:rPr>
              <w:t>Rashodi za zaposlene (šifre 311+312+313)</w:t>
            </w:r>
          </w:p>
        </w:tc>
        <w:tc>
          <w:tcPr>
            <w:tcW w:w="700" w:type="dxa"/>
            <w:tcMar>
              <w:top w:w="0" w:type="dxa"/>
              <w:bottom w:w="0" w:type="dxa"/>
            </w:tcMar>
            <w:vAlign w:val="center"/>
          </w:tcPr>
          <w:p w14:paraId="50C7E921" w14:textId="77777777" w:rsidR="00C445AE" w:rsidRDefault="00000000" w:rsidP="00742AC7">
            <w:pPr>
              <w:keepNext/>
              <w:keepLines/>
              <w:spacing w:after="0" w:line="240" w:lineRule="auto"/>
              <w:jc w:val="both"/>
            </w:pPr>
            <w:r>
              <w:rPr>
                <w:sz w:val="18"/>
              </w:rPr>
              <w:t>31</w:t>
            </w:r>
          </w:p>
        </w:tc>
        <w:tc>
          <w:tcPr>
            <w:tcW w:w="1860" w:type="dxa"/>
            <w:tcMar>
              <w:top w:w="0" w:type="dxa"/>
              <w:bottom w:w="0" w:type="dxa"/>
            </w:tcMar>
            <w:vAlign w:val="center"/>
          </w:tcPr>
          <w:p w14:paraId="2047721A" w14:textId="77777777" w:rsidR="00C445AE" w:rsidRDefault="00000000" w:rsidP="00742AC7">
            <w:pPr>
              <w:keepNext/>
              <w:keepLines/>
              <w:spacing w:after="0" w:line="240" w:lineRule="auto"/>
              <w:jc w:val="both"/>
            </w:pPr>
            <w:r>
              <w:rPr>
                <w:sz w:val="18"/>
              </w:rPr>
              <w:t>233.344,13</w:t>
            </w:r>
          </w:p>
        </w:tc>
        <w:tc>
          <w:tcPr>
            <w:tcW w:w="1860" w:type="dxa"/>
            <w:tcMar>
              <w:top w:w="0" w:type="dxa"/>
              <w:bottom w:w="0" w:type="dxa"/>
            </w:tcMar>
            <w:vAlign w:val="center"/>
          </w:tcPr>
          <w:p w14:paraId="6FF1247C" w14:textId="77777777" w:rsidR="00C445AE" w:rsidRDefault="00000000" w:rsidP="00742AC7">
            <w:pPr>
              <w:keepNext/>
              <w:keepLines/>
              <w:spacing w:after="0" w:line="240" w:lineRule="auto"/>
              <w:jc w:val="both"/>
            </w:pPr>
            <w:r>
              <w:rPr>
                <w:sz w:val="18"/>
              </w:rPr>
              <w:t>287.590,37</w:t>
            </w:r>
          </w:p>
        </w:tc>
        <w:tc>
          <w:tcPr>
            <w:tcW w:w="700" w:type="dxa"/>
            <w:tcMar>
              <w:top w:w="0" w:type="dxa"/>
              <w:bottom w:w="0" w:type="dxa"/>
            </w:tcMar>
            <w:vAlign w:val="center"/>
          </w:tcPr>
          <w:p w14:paraId="1111AF79" w14:textId="77777777" w:rsidR="00C445AE" w:rsidRDefault="00000000" w:rsidP="00742AC7">
            <w:pPr>
              <w:keepNext/>
              <w:keepLines/>
              <w:spacing w:after="0" w:line="240" w:lineRule="auto"/>
              <w:jc w:val="both"/>
            </w:pPr>
            <w:r>
              <w:rPr>
                <w:sz w:val="18"/>
              </w:rPr>
              <w:t>123,2</w:t>
            </w:r>
          </w:p>
        </w:tc>
      </w:tr>
    </w:tbl>
    <w:p w14:paraId="0E40C4CB" w14:textId="77777777" w:rsidR="00C445AE" w:rsidRDefault="00C445AE" w:rsidP="00742AC7">
      <w:pPr>
        <w:spacing w:after="0"/>
        <w:jc w:val="both"/>
      </w:pPr>
    </w:p>
    <w:p w14:paraId="65CA5E9C" w14:textId="77777777" w:rsidR="00C445AE" w:rsidRDefault="00000000" w:rsidP="00742AC7">
      <w:pPr>
        <w:jc w:val="both"/>
      </w:pPr>
      <w:r>
        <w:t>Rashodi za zaposlene (šifre 311+312+313) 31 ostvareni su u iznosu od 287.590,37 EUR odnosno sa  23,2 %  više u odnosu na prošlu godinu u istom izvještajnom razdoblju kad su ostvareni u iznosu od 233.344,13 EUR. Razlog povećanju ovih rashoda je povećanje osnovice za obračun plaća zaposlenicima JUO-a Općine i zapošljavanja dvoje novih zaposlenika.</w:t>
      </w:r>
      <w:r>
        <w:br/>
      </w:r>
      <w:r>
        <w:br/>
      </w:r>
    </w:p>
    <w:p w14:paraId="1F9C6FB9" w14:textId="77777777" w:rsidR="00C445AE" w:rsidRDefault="00000000" w:rsidP="00742AC7">
      <w:pPr>
        <w:jc w:val="both"/>
      </w:pPr>
      <w:r>
        <w:br/>
      </w:r>
    </w:p>
    <w:p w14:paraId="4F76D902" w14:textId="77777777" w:rsidR="00C445AE" w:rsidRDefault="00C445AE" w:rsidP="00742AC7">
      <w:pPr>
        <w:jc w:val="both"/>
      </w:pPr>
    </w:p>
    <w:p w14:paraId="1D700289" w14:textId="77777777" w:rsidR="00C445AE" w:rsidRDefault="00000000" w:rsidP="00742AC7">
      <w:pPr>
        <w:keepNext/>
        <w:spacing w:line="240" w:lineRule="auto"/>
        <w:jc w:val="both"/>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2637EF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1E0F51"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3E968E"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D229071"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720C0422"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2077853"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39FD841" w14:textId="77777777" w:rsidR="00C445AE" w:rsidRDefault="00000000" w:rsidP="00742AC7">
            <w:pPr>
              <w:keepNext/>
              <w:keepLines/>
              <w:spacing w:after="0" w:line="240" w:lineRule="auto"/>
              <w:jc w:val="both"/>
            </w:pPr>
            <w:r>
              <w:rPr>
                <w:b/>
                <w:sz w:val="18"/>
              </w:rPr>
              <w:t>Indeks (%)</w:t>
            </w:r>
          </w:p>
        </w:tc>
      </w:tr>
      <w:tr w:rsidR="00C445AE" w14:paraId="106A6353" w14:textId="77777777">
        <w:tblPrEx>
          <w:tblCellMar>
            <w:top w:w="0" w:type="dxa"/>
            <w:bottom w:w="0" w:type="dxa"/>
          </w:tblCellMar>
        </w:tblPrEx>
        <w:trPr>
          <w:cantSplit/>
          <w:trHeight w:val="560"/>
        </w:trPr>
        <w:tc>
          <w:tcPr>
            <w:tcW w:w="700" w:type="dxa"/>
            <w:tcMar>
              <w:top w:w="0" w:type="dxa"/>
              <w:bottom w:w="0" w:type="dxa"/>
            </w:tcMar>
            <w:vAlign w:val="center"/>
          </w:tcPr>
          <w:p w14:paraId="4AF5BD84" w14:textId="77777777" w:rsidR="00C445AE" w:rsidRDefault="00000000" w:rsidP="00742AC7">
            <w:pPr>
              <w:keepNext/>
              <w:keepLines/>
              <w:spacing w:after="0" w:line="240" w:lineRule="auto"/>
              <w:jc w:val="both"/>
            </w:pPr>
            <w:r>
              <w:rPr>
                <w:sz w:val="18"/>
              </w:rPr>
              <w:t>321</w:t>
            </w:r>
          </w:p>
        </w:tc>
        <w:tc>
          <w:tcPr>
            <w:tcW w:w="3180" w:type="dxa"/>
            <w:tcMar>
              <w:top w:w="0" w:type="dxa"/>
              <w:bottom w:w="0" w:type="dxa"/>
            </w:tcMar>
            <w:vAlign w:val="center"/>
          </w:tcPr>
          <w:p w14:paraId="50745B33" w14:textId="77777777" w:rsidR="00C445AE" w:rsidRDefault="00000000" w:rsidP="00742AC7">
            <w:pPr>
              <w:keepNext/>
              <w:keepLines/>
              <w:spacing w:after="0" w:line="240" w:lineRule="auto"/>
              <w:jc w:val="both"/>
            </w:pPr>
            <w:r>
              <w:rPr>
                <w:sz w:val="18"/>
              </w:rPr>
              <w:t>Naknade troškova zaposlenima (šifre 3211 do 3214)</w:t>
            </w:r>
          </w:p>
        </w:tc>
        <w:tc>
          <w:tcPr>
            <w:tcW w:w="700" w:type="dxa"/>
            <w:tcMar>
              <w:top w:w="0" w:type="dxa"/>
              <w:bottom w:w="0" w:type="dxa"/>
            </w:tcMar>
            <w:vAlign w:val="center"/>
          </w:tcPr>
          <w:p w14:paraId="1ADBA319" w14:textId="77777777" w:rsidR="00C445AE" w:rsidRDefault="00000000" w:rsidP="00742AC7">
            <w:pPr>
              <w:keepNext/>
              <w:keepLines/>
              <w:spacing w:after="0" w:line="240" w:lineRule="auto"/>
              <w:jc w:val="both"/>
            </w:pPr>
            <w:r>
              <w:rPr>
                <w:sz w:val="18"/>
              </w:rPr>
              <w:t>321</w:t>
            </w:r>
          </w:p>
        </w:tc>
        <w:tc>
          <w:tcPr>
            <w:tcW w:w="1860" w:type="dxa"/>
            <w:tcMar>
              <w:top w:w="0" w:type="dxa"/>
              <w:bottom w:w="0" w:type="dxa"/>
            </w:tcMar>
            <w:vAlign w:val="center"/>
          </w:tcPr>
          <w:p w14:paraId="770CBB50" w14:textId="77777777" w:rsidR="00C445AE" w:rsidRDefault="00000000" w:rsidP="00742AC7">
            <w:pPr>
              <w:keepNext/>
              <w:keepLines/>
              <w:spacing w:after="0" w:line="240" w:lineRule="auto"/>
              <w:jc w:val="both"/>
            </w:pPr>
            <w:r>
              <w:rPr>
                <w:sz w:val="18"/>
              </w:rPr>
              <w:t>3.261,21</w:t>
            </w:r>
          </w:p>
        </w:tc>
        <w:tc>
          <w:tcPr>
            <w:tcW w:w="1860" w:type="dxa"/>
            <w:tcMar>
              <w:top w:w="0" w:type="dxa"/>
              <w:bottom w:w="0" w:type="dxa"/>
            </w:tcMar>
            <w:vAlign w:val="center"/>
          </w:tcPr>
          <w:p w14:paraId="3E7AE5F9" w14:textId="77777777" w:rsidR="00C445AE" w:rsidRDefault="00000000" w:rsidP="00742AC7">
            <w:pPr>
              <w:keepNext/>
              <w:keepLines/>
              <w:spacing w:after="0" w:line="240" w:lineRule="auto"/>
              <w:jc w:val="both"/>
            </w:pPr>
            <w:r>
              <w:rPr>
                <w:sz w:val="18"/>
              </w:rPr>
              <w:t>5.664,41</w:t>
            </w:r>
          </w:p>
        </w:tc>
        <w:tc>
          <w:tcPr>
            <w:tcW w:w="700" w:type="dxa"/>
            <w:tcMar>
              <w:top w:w="0" w:type="dxa"/>
              <w:bottom w:w="0" w:type="dxa"/>
            </w:tcMar>
            <w:vAlign w:val="center"/>
          </w:tcPr>
          <w:p w14:paraId="0BD54951" w14:textId="77777777" w:rsidR="00C445AE" w:rsidRDefault="00000000" w:rsidP="00742AC7">
            <w:pPr>
              <w:keepNext/>
              <w:keepLines/>
              <w:spacing w:after="0" w:line="240" w:lineRule="auto"/>
              <w:jc w:val="both"/>
            </w:pPr>
            <w:r>
              <w:rPr>
                <w:sz w:val="18"/>
              </w:rPr>
              <w:t>173,7</w:t>
            </w:r>
          </w:p>
        </w:tc>
      </w:tr>
    </w:tbl>
    <w:p w14:paraId="5C7111C9" w14:textId="77777777" w:rsidR="00C445AE" w:rsidRDefault="00C445AE" w:rsidP="00742AC7">
      <w:pPr>
        <w:spacing w:after="0"/>
        <w:jc w:val="both"/>
      </w:pPr>
    </w:p>
    <w:p w14:paraId="78C4336B" w14:textId="77777777" w:rsidR="00C445AE" w:rsidRDefault="00000000" w:rsidP="00742AC7">
      <w:pPr>
        <w:jc w:val="both"/>
      </w:pPr>
      <w:r>
        <w:t>Rashodi za naknade troškova zaposlenima (šifre 3211 do 3214) 321 ostvareni su u iznosu od  5.664,41 EUR odnosno sa  173,7 % u odnosu na prošlu godinu u istom izvještajnom razdoblju kad su ostvareni u iznosu od  3.261,21 EUR. Razlog povećanju ovih rashoda je veći broj službenih putovanja, veći izdaci za naknade za prijevoz (zbog 2 novih zaposlenika), slanja djelatnika na stručna usavršavanja (osobito iz područja javne nabave).</w:t>
      </w:r>
      <w:r>
        <w:br/>
      </w:r>
      <w:r>
        <w:br/>
      </w:r>
    </w:p>
    <w:p w14:paraId="19F58330" w14:textId="77777777" w:rsidR="00C445AE" w:rsidRDefault="00000000" w:rsidP="00742AC7">
      <w:pPr>
        <w:jc w:val="both"/>
      </w:pPr>
      <w:r>
        <w:t> </w:t>
      </w:r>
    </w:p>
    <w:p w14:paraId="7AB690E4" w14:textId="77777777" w:rsidR="00C445AE" w:rsidRDefault="00C445AE" w:rsidP="00742AC7">
      <w:pPr>
        <w:jc w:val="both"/>
      </w:pPr>
    </w:p>
    <w:p w14:paraId="48E16D78" w14:textId="77777777" w:rsidR="00C445AE" w:rsidRDefault="00000000" w:rsidP="00742AC7">
      <w:pPr>
        <w:keepNext/>
        <w:spacing w:line="240" w:lineRule="auto"/>
        <w:jc w:val="both"/>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57EBF6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316B24"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E7EFB1"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9E301D6"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4CA52D9"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0D93315"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789AE2E" w14:textId="77777777" w:rsidR="00C445AE" w:rsidRDefault="00000000" w:rsidP="00742AC7">
            <w:pPr>
              <w:keepNext/>
              <w:keepLines/>
              <w:spacing w:after="0" w:line="240" w:lineRule="auto"/>
              <w:jc w:val="both"/>
            </w:pPr>
            <w:r>
              <w:rPr>
                <w:b/>
                <w:sz w:val="18"/>
              </w:rPr>
              <w:t>Indeks (%)</w:t>
            </w:r>
          </w:p>
        </w:tc>
      </w:tr>
      <w:tr w:rsidR="00C445AE" w14:paraId="765F6D8E" w14:textId="77777777">
        <w:tblPrEx>
          <w:tblCellMar>
            <w:top w:w="0" w:type="dxa"/>
            <w:bottom w:w="0" w:type="dxa"/>
          </w:tblCellMar>
        </w:tblPrEx>
        <w:trPr>
          <w:cantSplit/>
          <w:trHeight w:val="560"/>
        </w:trPr>
        <w:tc>
          <w:tcPr>
            <w:tcW w:w="700" w:type="dxa"/>
            <w:tcMar>
              <w:top w:w="0" w:type="dxa"/>
              <w:bottom w:w="0" w:type="dxa"/>
            </w:tcMar>
            <w:vAlign w:val="center"/>
          </w:tcPr>
          <w:p w14:paraId="1267D305" w14:textId="77777777" w:rsidR="00C445AE" w:rsidRDefault="00000000" w:rsidP="00742AC7">
            <w:pPr>
              <w:keepNext/>
              <w:keepLines/>
              <w:spacing w:after="0" w:line="240" w:lineRule="auto"/>
              <w:jc w:val="both"/>
            </w:pPr>
            <w:r>
              <w:rPr>
                <w:sz w:val="18"/>
              </w:rPr>
              <w:t>3221</w:t>
            </w:r>
          </w:p>
        </w:tc>
        <w:tc>
          <w:tcPr>
            <w:tcW w:w="3180" w:type="dxa"/>
            <w:tcMar>
              <w:top w:w="0" w:type="dxa"/>
              <w:bottom w:w="0" w:type="dxa"/>
            </w:tcMar>
            <w:vAlign w:val="center"/>
          </w:tcPr>
          <w:p w14:paraId="3417114D" w14:textId="77777777" w:rsidR="00C445AE" w:rsidRDefault="00000000" w:rsidP="00742AC7">
            <w:pPr>
              <w:keepNext/>
              <w:keepLines/>
              <w:spacing w:after="0" w:line="240" w:lineRule="auto"/>
              <w:jc w:val="both"/>
            </w:pPr>
            <w:r>
              <w:rPr>
                <w:sz w:val="18"/>
              </w:rPr>
              <w:t>Uredski materijal i ostali materijalni rashodi</w:t>
            </w:r>
          </w:p>
        </w:tc>
        <w:tc>
          <w:tcPr>
            <w:tcW w:w="700" w:type="dxa"/>
            <w:tcMar>
              <w:top w:w="0" w:type="dxa"/>
              <w:bottom w:w="0" w:type="dxa"/>
            </w:tcMar>
            <w:vAlign w:val="center"/>
          </w:tcPr>
          <w:p w14:paraId="73FF906F" w14:textId="77777777" w:rsidR="00C445AE" w:rsidRDefault="00000000" w:rsidP="00742AC7">
            <w:pPr>
              <w:keepNext/>
              <w:keepLines/>
              <w:spacing w:after="0" w:line="240" w:lineRule="auto"/>
              <w:jc w:val="both"/>
            </w:pPr>
            <w:r>
              <w:rPr>
                <w:sz w:val="18"/>
              </w:rPr>
              <w:t>3221</w:t>
            </w:r>
          </w:p>
        </w:tc>
        <w:tc>
          <w:tcPr>
            <w:tcW w:w="1860" w:type="dxa"/>
            <w:tcMar>
              <w:top w:w="0" w:type="dxa"/>
              <w:bottom w:w="0" w:type="dxa"/>
            </w:tcMar>
            <w:vAlign w:val="center"/>
          </w:tcPr>
          <w:p w14:paraId="2E54EDE2" w14:textId="77777777" w:rsidR="00C445AE" w:rsidRDefault="00000000" w:rsidP="00742AC7">
            <w:pPr>
              <w:keepNext/>
              <w:keepLines/>
              <w:spacing w:after="0" w:line="240" w:lineRule="auto"/>
              <w:jc w:val="both"/>
            </w:pPr>
            <w:r>
              <w:rPr>
                <w:sz w:val="18"/>
              </w:rPr>
              <w:t>5.781,87</w:t>
            </w:r>
          </w:p>
        </w:tc>
        <w:tc>
          <w:tcPr>
            <w:tcW w:w="1860" w:type="dxa"/>
            <w:tcMar>
              <w:top w:w="0" w:type="dxa"/>
              <w:bottom w:w="0" w:type="dxa"/>
            </w:tcMar>
            <w:vAlign w:val="center"/>
          </w:tcPr>
          <w:p w14:paraId="0B36BED0" w14:textId="77777777" w:rsidR="00C445AE" w:rsidRDefault="00000000" w:rsidP="00742AC7">
            <w:pPr>
              <w:keepNext/>
              <w:keepLines/>
              <w:spacing w:after="0" w:line="240" w:lineRule="auto"/>
              <w:jc w:val="both"/>
            </w:pPr>
            <w:r>
              <w:rPr>
                <w:sz w:val="18"/>
              </w:rPr>
              <w:t>8.351,57</w:t>
            </w:r>
          </w:p>
        </w:tc>
        <w:tc>
          <w:tcPr>
            <w:tcW w:w="700" w:type="dxa"/>
            <w:tcMar>
              <w:top w:w="0" w:type="dxa"/>
              <w:bottom w:w="0" w:type="dxa"/>
            </w:tcMar>
            <w:vAlign w:val="center"/>
          </w:tcPr>
          <w:p w14:paraId="4E42DE85" w14:textId="77777777" w:rsidR="00C445AE" w:rsidRDefault="00000000" w:rsidP="00742AC7">
            <w:pPr>
              <w:keepNext/>
              <w:keepLines/>
              <w:spacing w:after="0" w:line="240" w:lineRule="auto"/>
              <w:jc w:val="both"/>
            </w:pPr>
            <w:r>
              <w:rPr>
                <w:sz w:val="18"/>
              </w:rPr>
              <w:t>144,4</w:t>
            </w:r>
          </w:p>
        </w:tc>
      </w:tr>
    </w:tbl>
    <w:p w14:paraId="45FAC73D" w14:textId="77777777" w:rsidR="00C445AE" w:rsidRDefault="00C445AE" w:rsidP="00742AC7">
      <w:pPr>
        <w:spacing w:after="0"/>
        <w:jc w:val="both"/>
      </w:pPr>
    </w:p>
    <w:p w14:paraId="40BA434E" w14:textId="77777777" w:rsidR="00C445AE" w:rsidRDefault="00000000" w:rsidP="00742AC7">
      <w:pPr>
        <w:jc w:val="both"/>
      </w:pPr>
      <w:r>
        <w:t>Uredski materijal i ostali materijalni rashodi (šifra 3221) ostvareni su u iznosu od 8.351,57 EUR odnosno sa  44,4 % više u odnosu na prošlu godinu u istom izvještajnom razdoblju kad su ostvareni u iznosu od 5.781,87 EUR. Povećanje je uslijedilo nabave raznih potrepština za ured (uslijed seljenja četvero djelatnika u nove urede) i povećanje cijena osobito tonera.</w:t>
      </w:r>
      <w:r>
        <w:br/>
      </w:r>
      <w:r>
        <w:br/>
      </w:r>
    </w:p>
    <w:p w14:paraId="44B4E080" w14:textId="77777777" w:rsidR="00C445AE" w:rsidRDefault="00000000" w:rsidP="00742AC7">
      <w:pPr>
        <w:jc w:val="both"/>
      </w:pPr>
      <w:r>
        <w:br/>
      </w:r>
    </w:p>
    <w:p w14:paraId="6A156E2E" w14:textId="77777777" w:rsidR="00C445AE" w:rsidRDefault="00C445AE" w:rsidP="00742AC7">
      <w:pPr>
        <w:jc w:val="both"/>
      </w:pPr>
    </w:p>
    <w:p w14:paraId="5330D930" w14:textId="77777777" w:rsidR="00C445AE" w:rsidRDefault="00000000" w:rsidP="00742AC7">
      <w:pPr>
        <w:keepNext/>
        <w:spacing w:line="240" w:lineRule="auto"/>
        <w:jc w:val="both"/>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7117CF8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08F7A8"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11AD1E"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C2B1D82"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D17D440"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63674C9"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22B458C" w14:textId="77777777" w:rsidR="00C445AE" w:rsidRDefault="00000000" w:rsidP="00742AC7">
            <w:pPr>
              <w:keepNext/>
              <w:keepLines/>
              <w:spacing w:after="0" w:line="240" w:lineRule="auto"/>
              <w:jc w:val="both"/>
            </w:pPr>
            <w:r>
              <w:rPr>
                <w:b/>
                <w:sz w:val="18"/>
              </w:rPr>
              <w:t>Indeks (%)</w:t>
            </w:r>
          </w:p>
        </w:tc>
      </w:tr>
      <w:tr w:rsidR="00C445AE" w14:paraId="4BF4D6AA" w14:textId="77777777">
        <w:tblPrEx>
          <w:tblCellMar>
            <w:top w:w="0" w:type="dxa"/>
            <w:bottom w:w="0" w:type="dxa"/>
          </w:tblCellMar>
        </w:tblPrEx>
        <w:trPr>
          <w:cantSplit/>
          <w:trHeight w:val="560"/>
        </w:trPr>
        <w:tc>
          <w:tcPr>
            <w:tcW w:w="700" w:type="dxa"/>
            <w:tcMar>
              <w:top w:w="0" w:type="dxa"/>
              <w:bottom w:w="0" w:type="dxa"/>
            </w:tcMar>
            <w:vAlign w:val="center"/>
          </w:tcPr>
          <w:p w14:paraId="3980FBFB" w14:textId="77777777" w:rsidR="00C445AE" w:rsidRDefault="00000000" w:rsidP="00742AC7">
            <w:pPr>
              <w:keepNext/>
              <w:keepLines/>
              <w:spacing w:after="0" w:line="240" w:lineRule="auto"/>
              <w:jc w:val="both"/>
            </w:pPr>
            <w:r>
              <w:rPr>
                <w:sz w:val="18"/>
              </w:rPr>
              <w:t>323</w:t>
            </w:r>
          </w:p>
        </w:tc>
        <w:tc>
          <w:tcPr>
            <w:tcW w:w="3180" w:type="dxa"/>
            <w:tcMar>
              <w:top w:w="0" w:type="dxa"/>
              <w:bottom w:w="0" w:type="dxa"/>
            </w:tcMar>
            <w:vAlign w:val="center"/>
          </w:tcPr>
          <w:p w14:paraId="244F9DEF" w14:textId="77777777" w:rsidR="00C445AE" w:rsidRDefault="00000000" w:rsidP="00742AC7">
            <w:pPr>
              <w:keepNext/>
              <w:keepLines/>
              <w:spacing w:after="0" w:line="240" w:lineRule="auto"/>
              <w:jc w:val="both"/>
            </w:pPr>
            <w:r>
              <w:rPr>
                <w:sz w:val="18"/>
              </w:rPr>
              <w:t>Rashodi za usluge (šifre 3231 do 3239)</w:t>
            </w:r>
          </w:p>
        </w:tc>
        <w:tc>
          <w:tcPr>
            <w:tcW w:w="700" w:type="dxa"/>
            <w:tcMar>
              <w:top w:w="0" w:type="dxa"/>
              <w:bottom w:w="0" w:type="dxa"/>
            </w:tcMar>
            <w:vAlign w:val="center"/>
          </w:tcPr>
          <w:p w14:paraId="1D6A93D2" w14:textId="77777777" w:rsidR="00C445AE" w:rsidRDefault="00000000" w:rsidP="00742AC7">
            <w:pPr>
              <w:keepNext/>
              <w:keepLines/>
              <w:spacing w:after="0" w:line="240" w:lineRule="auto"/>
              <w:jc w:val="both"/>
            </w:pPr>
            <w:r>
              <w:rPr>
                <w:sz w:val="18"/>
              </w:rPr>
              <w:t>323</w:t>
            </w:r>
          </w:p>
        </w:tc>
        <w:tc>
          <w:tcPr>
            <w:tcW w:w="1860" w:type="dxa"/>
            <w:tcMar>
              <w:top w:w="0" w:type="dxa"/>
              <w:bottom w:w="0" w:type="dxa"/>
            </w:tcMar>
            <w:vAlign w:val="center"/>
          </w:tcPr>
          <w:p w14:paraId="1CB5A965" w14:textId="77777777" w:rsidR="00C445AE" w:rsidRDefault="00000000" w:rsidP="00742AC7">
            <w:pPr>
              <w:keepNext/>
              <w:keepLines/>
              <w:spacing w:after="0" w:line="240" w:lineRule="auto"/>
              <w:jc w:val="both"/>
            </w:pPr>
            <w:r>
              <w:rPr>
                <w:sz w:val="18"/>
              </w:rPr>
              <w:t>1.284.852,74</w:t>
            </w:r>
          </w:p>
        </w:tc>
        <w:tc>
          <w:tcPr>
            <w:tcW w:w="1860" w:type="dxa"/>
            <w:tcMar>
              <w:top w:w="0" w:type="dxa"/>
              <w:bottom w:w="0" w:type="dxa"/>
            </w:tcMar>
            <w:vAlign w:val="center"/>
          </w:tcPr>
          <w:p w14:paraId="003053D3" w14:textId="77777777" w:rsidR="00C445AE" w:rsidRDefault="00000000" w:rsidP="00742AC7">
            <w:pPr>
              <w:keepNext/>
              <w:keepLines/>
              <w:spacing w:after="0" w:line="240" w:lineRule="auto"/>
              <w:jc w:val="both"/>
            </w:pPr>
            <w:r>
              <w:rPr>
                <w:sz w:val="18"/>
              </w:rPr>
              <w:t>1.067.565,75</w:t>
            </w:r>
          </w:p>
        </w:tc>
        <w:tc>
          <w:tcPr>
            <w:tcW w:w="700" w:type="dxa"/>
            <w:tcMar>
              <w:top w:w="0" w:type="dxa"/>
              <w:bottom w:w="0" w:type="dxa"/>
            </w:tcMar>
            <w:vAlign w:val="center"/>
          </w:tcPr>
          <w:p w14:paraId="590C67BE" w14:textId="77777777" w:rsidR="00C445AE" w:rsidRDefault="00000000" w:rsidP="00742AC7">
            <w:pPr>
              <w:keepNext/>
              <w:keepLines/>
              <w:spacing w:after="0" w:line="240" w:lineRule="auto"/>
              <w:jc w:val="both"/>
            </w:pPr>
            <w:r>
              <w:rPr>
                <w:sz w:val="18"/>
              </w:rPr>
              <w:t>83,1</w:t>
            </w:r>
          </w:p>
        </w:tc>
      </w:tr>
    </w:tbl>
    <w:p w14:paraId="0ADC1C8A" w14:textId="77777777" w:rsidR="00C445AE" w:rsidRDefault="00C445AE" w:rsidP="00742AC7">
      <w:pPr>
        <w:spacing w:after="0"/>
        <w:jc w:val="both"/>
      </w:pPr>
    </w:p>
    <w:p w14:paraId="393F995F" w14:textId="34F6E031" w:rsidR="00C445AE" w:rsidRDefault="00000000" w:rsidP="00742AC7">
      <w:pPr>
        <w:jc w:val="both"/>
      </w:pPr>
      <w:r>
        <w:t>Rashodi za usluge (šifre 3231 do 3239) ostvareni u izvještajnom razdoblju tekuće godine iznose 1.067.565,75 EUR, što je 16,9% manje u odnosu na 2025. godinu kad su realizirani sa 1.284.852,74 EUR. Navedeno je u totalu iznosa manje, ali u pojedinim stavkama imamo značajnija ods</w:t>
      </w:r>
      <w:r w:rsidR="00742AC7">
        <w:t>t</w:t>
      </w:r>
      <w:r>
        <w:t>u</w:t>
      </w:r>
      <w:r w:rsidR="00742AC7">
        <w:t>p</w:t>
      </w:r>
      <w:r>
        <w:t>anja u povećanju utrošenih sredstava na rashode kao što su:</w:t>
      </w:r>
    </w:p>
    <w:p w14:paraId="57EBB70A" w14:textId="7E0374CA" w:rsidR="00C445AE" w:rsidRDefault="00000000" w:rsidP="00742AC7">
      <w:pPr>
        <w:jc w:val="both"/>
      </w:pPr>
      <w:r>
        <w:t>-povećanje rashoda za zakupnine (koje su veće za 110,3% od 2025. godine - zbog mjesečnih najmova i održavanja privremene zaštitne ograde za gradilište Nogometnog centra koje nismo imali u 2025., te najma vozila za potrebe načelnik),</w:t>
      </w:r>
    </w:p>
    <w:p w14:paraId="08D9D932" w14:textId="77777777" w:rsidR="00C445AE" w:rsidRDefault="00000000" w:rsidP="00742AC7">
      <w:pPr>
        <w:jc w:val="both"/>
      </w:pPr>
      <w:r>
        <w:t>-povećanja intelektualnih i osobnih usluga (koje su veće za 42,9% u odnosu na 2025. godinu - zbog izrada većeg broja prostorno planskih dokumenata, više usluga savjetovanja, vještačenja i dr.)</w:t>
      </w:r>
    </w:p>
    <w:p w14:paraId="286E0F7C" w14:textId="77777777" w:rsidR="00C445AE" w:rsidRDefault="00000000" w:rsidP="00742AC7">
      <w:pPr>
        <w:jc w:val="both"/>
      </w:pPr>
      <w:r>
        <w:t xml:space="preserve">-povećanja rashoda za računalne usluge ( koji su veći za 71,2% u odnosu na 2025. godinu - zbog importa podataka sa sustava </w:t>
      </w:r>
      <w:proofErr w:type="spellStart"/>
      <w:r>
        <w:t>Infoprojekta</w:t>
      </w:r>
      <w:proofErr w:type="spellEnd"/>
      <w:r>
        <w:t xml:space="preserve"> na bazu SWING-a a radi izdavanja i tiskanja novih Rješenja za komunalnu naknadu, implementacije novih aplikacija/modula Ugovora, Kolanje računa, Fiskalizacije i dr. usluga).</w:t>
      </w:r>
    </w:p>
    <w:p w14:paraId="2154C3FE" w14:textId="77777777" w:rsidR="00C445AE" w:rsidRDefault="00000000" w:rsidP="00742AC7">
      <w:pPr>
        <w:jc w:val="both"/>
      </w:pPr>
      <w:r>
        <w:t> </w:t>
      </w:r>
    </w:p>
    <w:p w14:paraId="4BEFA6BD" w14:textId="77777777" w:rsidR="00C445AE" w:rsidRDefault="00C445AE" w:rsidP="00742AC7">
      <w:pPr>
        <w:jc w:val="both"/>
      </w:pPr>
    </w:p>
    <w:p w14:paraId="43DC74BB" w14:textId="77777777" w:rsidR="00C445AE" w:rsidRDefault="00000000" w:rsidP="00742AC7">
      <w:pPr>
        <w:keepNext/>
        <w:spacing w:line="240" w:lineRule="auto"/>
        <w:jc w:val="both"/>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211CB6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76FC20"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B361CC"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2BB807C"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E3D09C9"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6AD3DB6"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0F2532DB" w14:textId="77777777" w:rsidR="00C445AE" w:rsidRDefault="00000000" w:rsidP="00742AC7">
            <w:pPr>
              <w:keepNext/>
              <w:keepLines/>
              <w:spacing w:after="0" w:line="240" w:lineRule="auto"/>
              <w:jc w:val="both"/>
            </w:pPr>
            <w:r>
              <w:rPr>
                <w:b/>
                <w:sz w:val="18"/>
              </w:rPr>
              <w:t>Indeks (%)</w:t>
            </w:r>
          </w:p>
        </w:tc>
      </w:tr>
      <w:tr w:rsidR="00C445AE" w14:paraId="4D72FA09" w14:textId="77777777">
        <w:tblPrEx>
          <w:tblCellMar>
            <w:top w:w="0" w:type="dxa"/>
            <w:bottom w:w="0" w:type="dxa"/>
          </w:tblCellMar>
        </w:tblPrEx>
        <w:trPr>
          <w:cantSplit/>
          <w:trHeight w:val="560"/>
        </w:trPr>
        <w:tc>
          <w:tcPr>
            <w:tcW w:w="700" w:type="dxa"/>
            <w:tcMar>
              <w:top w:w="0" w:type="dxa"/>
              <w:bottom w:w="0" w:type="dxa"/>
            </w:tcMar>
            <w:vAlign w:val="center"/>
          </w:tcPr>
          <w:p w14:paraId="659EB07D" w14:textId="77777777" w:rsidR="00C445AE" w:rsidRDefault="00000000" w:rsidP="00742AC7">
            <w:pPr>
              <w:keepNext/>
              <w:keepLines/>
              <w:spacing w:after="0" w:line="240" w:lineRule="auto"/>
              <w:jc w:val="both"/>
            </w:pPr>
            <w:r>
              <w:rPr>
                <w:sz w:val="18"/>
              </w:rPr>
              <w:t>3231</w:t>
            </w:r>
          </w:p>
        </w:tc>
        <w:tc>
          <w:tcPr>
            <w:tcW w:w="3180" w:type="dxa"/>
            <w:tcMar>
              <w:top w:w="0" w:type="dxa"/>
              <w:bottom w:w="0" w:type="dxa"/>
            </w:tcMar>
            <w:vAlign w:val="center"/>
          </w:tcPr>
          <w:p w14:paraId="13E5A492" w14:textId="77777777" w:rsidR="00C445AE" w:rsidRDefault="00000000" w:rsidP="00742AC7">
            <w:pPr>
              <w:keepNext/>
              <w:keepLines/>
              <w:spacing w:after="0" w:line="240" w:lineRule="auto"/>
              <w:jc w:val="both"/>
            </w:pPr>
            <w:r>
              <w:rPr>
                <w:sz w:val="18"/>
              </w:rPr>
              <w:t>Usluge telefona, interneta, pošte i prijevoza</w:t>
            </w:r>
          </w:p>
        </w:tc>
        <w:tc>
          <w:tcPr>
            <w:tcW w:w="700" w:type="dxa"/>
            <w:tcMar>
              <w:top w:w="0" w:type="dxa"/>
              <w:bottom w:w="0" w:type="dxa"/>
            </w:tcMar>
            <w:vAlign w:val="center"/>
          </w:tcPr>
          <w:p w14:paraId="6BE743DC" w14:textId="77777777" w:rsidR="00C445AE" w:rsidRDefault="00000000" w:rsidP="00742AC7">
            <w:pPr>
              <w:keepNext/>
              <w:keepLines/>
              <w:spacing w:after="0" w:line="240" w:lineRule="auto"/>
              <w:jc w:val="both"/>
            </w:pPr>
            <w:r>
              <w:rPr>
                <w:sz w:val="18"/>
              </w:rPr>
              <w:t>3231</w:t>
            </w:r>
          </w:p>
        </w:tc>
        <w:tc>
          <w:tcPr>
            <w:tcW w:w="1860" w:type="dxa"/>
            <w:tcMar>
              <w:top w:w="0" w:type="dxa"/>
              <w:bottom w:w="0" w:type="dxa"/>
            </w:tcMar>
            <w:vAlign w:val="center"/>
          </w:tcPr>
          <w:p w14:paraId="2223526C" w14:textId="77777777" w:rsidR="00C445AE" w:rsidRDefault="00000000" w:rsidP="00742AC7">
            <w:pPr>
              <w:keepNext/>
              <w:keepLines/>
              <w:spacing w:after="0" w:line="240" w:lineRule="auto"/>
              <w:jc w:val="both"/>
            </w:pPr>
            <w:r>
              <w:rPr>
                <w:sz w:val="18"/>
              </w:rPr>
              <w:t>9.744,86</w:t>
            </w:r>
          </w:p>
        </w:tc>
        <w:tc>
          <w:tcPr>
            <w:tcW w:w="1860" w:type="dxa"/>
            <w:tcMar>
              <w:top w:w="0" w:type="dxa"/>
              <w:bottom w:w="0" w:type="dxa"/>
            </w:tcMar>
            <w:vAlign w:val="center"/>
          </w:tcPr>
          <w:p w14:paraId="401DCAAF" w14:textId="77777777" w:rsidR="00C445AE" w:rsidRDefault="00000000" w:rsidP="00742AC7">
            <w:pPr>
              <w:keepNext/>
              <w:keepLines/>
              <w:spacing w:after="0" w:line="240" w:lineRule="auto"/>
              <w:jc w:val="both"/>
            </w:pPr>
            <w:r>
              <w:rPr>
                <w:sz w:val="18"/>
              </w:rPr>
              <w:t>21.087,84</w:t>
            </w:r>
          </w:p>
        </w:tc>
        <w:tc>
          <w:tcPr>
            <w:tcW w:w="700" w:type="dxa"/>
            <w:tcMar>
              <w:top w:w="0" w:type="dxa"/>
              <w:bottom w:w="0" w:type="dxa"/>
            </w:tcMar>
            <w:vAlign w:val="center"/>
          </w:tcPr>
          <w:p w14:paraId="51F5600F" w14:textId="77777777" w:rsidR="00C445AE" w:rsidRDefault="00000000" w:rsidP="00742AC7">
            <w:pPr>
              <w:keepNext/>
              <w:keepLines/>
              <w:spacing w:after="0" w:line="240" w:lineRule="auto"/>
              <w:jc w:val="both"/>
            </w:pPr>
            <w:r>
              <w:rPr>
                <w:sz w:val="18"/>
              </w:rPr>
              <w:t>216,4</w:t>
            </w:r>
          </w:p>
        </w:tc>
      </w:tr>
    </w:tbl>
    <w:p w14:paraId="4EEF1C43" w14:textId="77777777" w:rsidR="00C445AE" w:rsidRDefault="00C445AE" w:rsidP="00742AC7">
      <w:pPr>
        <w:spacing w:after="0"/>
        <w:jc w:val="both"/>
      </w:pPr>
    </w:p>
    <w:p w14:paraId="461C0CE2" w14:textId="77777777" w:rsidR="00C445AE" w:rsidRDefault="00000000" w:rsidP="00742AC7">
      <w:pPr>
        <w:jc w:val="both"/>
      </w:pPr>
      <w:r>
        <w:t>Usluge telefona, interneta, pošte i prijevoza (šifra) 3231 realizirani su u iznosu od 21.087,84 EUR odnosno 116,4% više u odnosu na 2025. godinu kad su ostvareni sa 9.744,86 EUR. Razlog ovog povećanja je izdavanje novih Rješenja za komunalnu naknade odnosno njihova otprema putem pošte čije su cijene usluga značajno porasle.</w:t>
      </w:r>
      <w:r>
        <w:br/>
        <w:t> </w:t>
      </w:r>
    </w:p>
    <w:p w14:paraId="3D270C13" w14:textId="77777777" w:rsidR="00C445AE" w:rsidRDefault="00C445AE" w:rsidP="00742AC7">
      <w:pPr>
        <w:jc w:val="both"/>
      </w:pPr>
    </w:p>
    <w:p w14:paraId="1E0703CE" w14:textId="77777777" w:rsidR="00C445AE" w:rsidRDefault="00000000" w:rsidP="00742AC7">
      <w:pPr>
        <w:keepNext/>
        <w:spacing w:line="240" w:lineRule="auto"/>
        <w:jc w:val="both"/>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02B906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29B395"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DB0204"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CE937B6"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3A0AF618"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18FBA4E"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11EB1609" w14:textId="77777777" w:rsidR="00C445AE" w:rsidRDefault="00000000" w:rsidP="00742AC7">
            <w:pPr>
              <w:keepNext/>
              <w:keepLines/>
              <w:spacing w:after="0" w:line="240" w:lineRule="auto"/>
              <w:jc w:val="both"/>
            </w:pPr>
            <w:r>
              <w:rPr>
                <w:b/>
                <w:sz w:val="18"/>
              </w:rPr>
              <w:t>Indeks (%)</w:t>
            </w:r>
          </w:p>
        </w:tc>
      </w:tr>
      <w:tr w:rsidR="00C445AE" w14:paraId="76733696" w14:textId="77777777">
        <w:tblPrEx>
          <w:tblCellMar>
            <w:top w:w="0" w:type="dxa"/>
            <w:bottom w:w="0" w:type="dxa"/>
          </w:tblCellMar>
        </w:tblPrEx>
        <w:trPr>
          <w:cantSplit/>
          <w:trHeight w:val="560"/>
        </w:trPr>
        <w:tc>
          <w:tcPr>
            <w:tcW w:w="700" w:type="dxa"/>
            <w:tcMar>
              <w:top w:w="0" w:type="dxa"/>
              <w:bottom w:w="0" w:type="dxa"/>
            </w:tcMar>
            <w:vAlign w:val="center"/>
          </w:tcPr>
          <w:p w14:paraId="0F3FFA2D" w14:textId="77777777" w:rsidR="00C445AE" w:rsidRDefault="00000000" w:rsidP="00742AC7">
            <w:pPr>
              <w:keepNext/>
              <w:keepLines/>
              <w:spacing w:after="0" w:line="240" w:lineRule="auto"/>
              <w:jc w:val="both"/>
            </w:pPr>
            <w:r>
              <w:rPr>
                <w:sz w:val="18"/>
              </w:rPr>
              <w:t>3235</w:t>
            </w:r>
          </w:p>
        </w:tc>
        <w:tc>
          <w:tcPr>
            <w:tcW w:w="3180" w:type="dxa"/>
            <w:tcMar>
              <w:top w:w="0" w:type="dxa"/>
              <w:bottom w:w="0" w:type="dxa"/>
            </w:tcMar>
            <w:vAlign w:val="center"/>
          </w:tcPr>
          <w:p w14:paraId="246D3FDB" w14:textId="77777777" w:rsidR="00C445AE" w:rsidRDefault="00000000" w:rsidP="00742AC7">
            <w:pPr>
              <w:keepNext/>
              <w:keepLines/>
              <w:spacing w:after="0" w:line="240" w:lineRule="auto"/>
              <w:jc w:val="both"/>
            </w:pPr>
            <w:r>
              <w:rPr>
                <w:sz w:val="18"/>
              </w:rPr>
              <w:t>Zakupnine i najamnine</w:t>
            </w:r>
          </w:p>
        </w:tc>
        <w:tc>
          <w:tcPr>
            <w:tcW w:w="700" w:type="dxa"/>
            <w:tcMar>
              <w:top w:w="0" w:type="dxa"/>
              <w:bottom w:w="0" w:type="dxa"/>
            </w:tcMar>
            <w:vAlign w:val="center"/>
          </w:tcPr>
          <w:p w14:paraId="0E37852F" w14:textId="77777777" w:rsidR="00C445AE" w:rsidRDefault="00000000" w:rsidP="00742AC7">
            <w:pPr>
              <w:keepNext/>
              <w:keepLines/>
              <w:spacing w:after="0" w:line="240" w:lineRule="auto"/>
              <w:jc w:val="both"/>
            </w:pPr>
            <w:r>
              <w:rPr>
                <w:sz w:val="18"/>
              </w:rPr>
              <w:t>3235</w:t>
            </w:r>
          </w:p>
        </w:tc>
        <w:tc>
          <w:tcPr>
            <w:tcW w:w="1860" w:type="dxa"/>
            <w:tcMar>
              <w:top w:w="0" w:type="dxa"/>
              <w:bottom w:w="0" w:type="dxa"/>
            </w:tcMar>
            <w:vAlign w:val="center"/>
          </w:tcPr>
          <w:p w14:paraId="02FD20A3" w14:textId="77777777" w:rsidR="00C445AE" w:rsidRDefault="00000000" w:rsidP="00742AC7">
            <w:pPr>
              <w:keepNext/>
              <w:keepLines/>
              <w:spacing w:after="0" w:line="240" w:lineRule="auto"/>
              <w:jc w:val="both"/>
            </w:pPr>
            <w:r>
              <w:rPr>
                <w:sz w:val="18"/>
              </w:rPr>
              <w:t>7.807,43</w:t>
            </w:r>
          </w:p>
        </w:tc>
        <w:tc>
          <w:tcPr>
            <w:tcW w:w="1860" w:type="dxa"/>
            <w:tcMar>
              <w:top w:w="0" w:type="dxa"/>
              <w:bottom w:w="0" w:type="dxa"/>
            </w:tcMar>
            <w:vAlign w:val="center"/>
          </w:tcPr>
          <w:p w14:paraId="43D9C869" w14:textId="77777777" w:rsidR="00C445AE" w:rsidRDefault="00000000" w:rsidP="00742AC7">
            <w:pPr>
              <w:keepNext/>
              <w:keepLines/>
              <w:spacing w:after="0" w:line="240" w:lineRule="auto"/>
              <w:jc w:val="both"/>
            </w:pPr>
            <w:r>
              <w:rPr>
                <w:sz w:val="18"/>
              </w:rPr>
              <w:t>16.415,67</w:t>
            </w:r>
          </w:p>
        </w:tc>
        <w:tc>
          <w:tcPr>
            <w:tcW w:w="700" w:type="dxa"/>
            <w:tcMar>
              <w:top w:w="0" w:type="dxa"/>
              <w:bottom w:w="0" w:type="dxa"/>
            </w:tcMar>
            <w:vAlign w:val="center"/>
          </w:tcPr>
          <w:p w14:paraId="14EA2AA8" w14:textId="77777777" w:rsidR="00C445AE" w:rsidRDefault="00000000" w:rsidP="00742AC7">
            <w:pPr>
              <w:keepNext/>
              <w:keepLines/>
              <w:spacing w:after="0" w:line="240" w:lineRule="auto"/>
              <w:jc w:val="both"/>
            </w:pPr>
            <w:r>
              <w:rPr>
                <w:sz w:val="18"/>
              </w:rPr>
              <w:t>210,3</w:t>
            </w:r>
          </w:p>
        </w:tc>
      </w:tr>
    </w:tbl>
    <w:p w14:paraId="3D02043D" w14:textId="77777777" w:rsidR="00C445AE" w:rsidRDefault="00C445AE" w:rsidP="00742AC7">
      <w:pPr>
        <w:spacing w:after="0"/>
        <w:jc w:val="both"/>
      </w:pPr>
    </w:p>
    <w:p w14:paraId="116979CB" w14:textId="77777777" w:rsidR="00C445AE" w:rsidRDefault="00000000" w:rsidP="00742AC7">
      <w:pPr>
        <w:jc w:val="both"/>
      </w:pPr>
      <w:r>
        <w:t>Rashodi za Zakupnine i najamnine (šifre 3235) ostvareni su u iznosu od 16.415,67 EUR odnosno sa  110,3% više u odnosu na prošlu godinu u istom izvještajnom razdoblju kad su ostvareni u iznosu od 7.807,43 EUR.</w:t>
      </w:r>
      <w:r>
        <w:br/>
        <w:t>Povećanje ovih rashoda za zakupnine i najamnine uslijedile su zbog novih rashoda oko mjesečnih najma i održavanja privremene zaštitne ograde za gradilište na Nogometnom igralištu, te fakturiranja zakupa poslovnog prostora u Zajednici Talijana za potrebe Vijeća Talijana i usluga najma vozila za potrebe korištenja općinskog načelnika (rashode koje nismo imali u izvještajnom razdoblju 2025. godine).</w:t>
      </w:r>
      <w:r>
        <w:br/>
      </w:r>
    </w:p>
    <w:p w14:paraId="16722E3A" w14:textId="77777777" w:rsidR="00C445AE" w:rsidRDefault="00000000" w:rsidP="00742AC7">
      <w:pPr>
        <w:jc w:val="both"/>
      </w:pPr>
      <w:r>
        <w:t> </w:t>
      </w:r>
    </w:p>
    <w:p w14:paraId="35641381" w14:textId="77777777" w:rsidR="00C445AE" w:rsidRDefault="00000000" w:rsidP="00742AC7">
      <w:pPr>
        <w:jc w:val="both"/>
      </w:pPr>
      <w:r>
        <w:br/>
      </w:r>
    </w:p>
    <w:p w14:paraId="5B4D0AB0" w14:textId="77777777" w:rsidR="00C445AE" w:rsidRDefault="00C445AE" w:rsidP="00742AC7">
      <w:pPr>
        <w:jc w:val="both"/>
      </w:pPr>
    </w:p>
    <w:p w14:paraId="359FDF13" w14:textId="77777777" w:rsidR="00C445AE" w:rsidRDefault="00000000" w:rsidP="00742AC7">
      <w:pPr>
        <w:keepNext/>
        <w:spacing w:line="240" w:lineRule="auto"/>
        <w:jc w:val="both"/>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3E1156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3DAD46"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2D3A4F"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022C768"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148D166"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196101E"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4F5357A" w14:textId="77777777" w:rsidR="00C445AE" w:rsidRDefault="00000000" w:rsidP="00742AC7">
            <w:pPr>
              <w:keepNext/>
              <w:keepLines/>
              <w:spacing w:after="0" w:line="240" w:lineRule="auto"/>
              <w:jc w:val="both"/>
            </w:pPr>
            <w:r>
              <w:rPr>
                <w:b/>
                <w:sz w:val="18"/>
              </w:rPr>
              <w:t>Indeks (%)</w:t>
            </w:r>
          </w:p>
        </w:tc>
      </w:tr>
      <w:tr w:rsidR="00C445AE" w14:paraId="50FE74EB" w14:textId="77777777">
        <w:tblPrEx>
          <w:tblCellMar>
            <w:top w:w="0" w:type="dxa"/>
            <w:bottom w:w="0" w:type="dxa"/>
          </w:tblCellMar>
        </w:tblPrEx>
        <w:trPr>
          <w:cantSplit/>
          <w:trHeight w:val="560"/>
        </w:trPr>
        <w:tc>
          <w:tcPr>
            <w:tcW w:w="700" w:type="dxa"/>
            <w:tcMar>
              <w:top w:w="0" w:type="dxa"/>
              <w:bottom w:w="0" w:type="dxa"/>
            </w:tcMar>
            <w:vAlign w:val="center"/>
          </w:tcPr>
          <w:p w14:paraId="3A2A63AF" w14:textId="77777777" w:rsidR="00C445AE" w:rsidRDefault="00000000" w:rsidP="00742AC7">
            <w:pPr>
              <w:keepNext/>
              <w:keepLines/>
              <w:spacing w:after="0" w:line="240" w:lineRule="auto"/>
              <w:jc w:val="both"/>
            </w:pPr>
            <w:r>
              <w:rPr>
                <w:sz w:val="18"/>
              </w:rPr>
              <w:t>3237</w:t>
            </w:r>
          </w:p>
        </w:tc>
        <w:tc>
          <w:tcPr>
            <w:tcW w:w="3180" w:type="dxa"/>
            <w:tcMar>
              <w:top w:w="0" w:type="dxa"/>
              <w:bottom w:w="0" w:type="dxa"/>
            </w:tcMar>
            <w:vAlign w:val="center"/>
          </w:tcPr>
          <w:p w14:paraId="073EF1C4" w14:textId="77777777" w:rsidR="00C445AE" w:rsidRDefault="00000000" w:rsidP="00742AC7">
            <w:pPr>
              <w:keepNext/>
              <w:keepLines/>
              <w:spacing w:after="0" w:line="240" w:lineRule="auto"/>
              <w:jc w:val="both"/>
            </w:pPr>
            <w:r>
              <w:rPr>
                <w:sz w:val="18"/>
              </w:rPr>
              <w:t>Intelektualne i osobne usluge</w:t>
            </w:r>
          </w:p>
        </w:tc>
        <w:tc>
          <w:tcPr>
            <w:tcW w:w="700" w:type="dxa"/>
            <w:tcMar>
              <w:top w:w="0" w:type="dxa"/>
              <w:bottom w:w="0" w:type="dxa"/>
            </w:tcMar>
            <w:vAlign w:val="center"/>
          </w:tcPr>
          <w:p w14:paraId="14CDA0BB" w14:textId="77777777" w:rsidR="00C445AE" w:rsidRDefault="00000000" w:rsidP="00742AC7">
            <w:pPr>
              <w:keepNext/>
              <w:keepLines/>
              <w:spacing w:after="0" w:line="240" w:lineRule="auto"/>
              <w:jc w:val="both"/>
            </w:pPr>
            <w:r>
              <w:rPr>
                <w:sz w:val="18"/>
              </w:rPr>
              <w:t>3237</w:t>
            </w:r>
          </w:p>
        </w:tc>
        <w:tc>
          <w:tcPr>
            <w:tcW w:w="1860" w:type="dxa"/>
            <w:tcMar>
              <w:top w:w="0" w:type="dxa"/>
              <w:bottom w:w="0" w:type="dxa"/>
            </w:tcMar>
            <w:vAlign w:val="center"/>
          </w:tcPr>
          <w:p w14:paraId="2F9BE613" w14:textId="77777777" w:rsidR="00C445AE" w:rsidRDefault="00000000" w:rsidP="00742AC7">
            <w:pPr>
              <w:keepNext/>
              <w:keepLines/>
              <w:spacing w:after="0" w:line="240" w:lineRule="auto"/>
              <w:jc w:val="both"/>
            </w:pPr>
            <w:r>
              <w:rPr>
                <w:sz w:val="18"/>
              </w:rPr>
              <w:t>101.722,72</w:t>
            </w:r>
          </w:p>
        </w:tc>
        <w:tc>
          <w:tcPr>
            <w:tcW w:w="1860" w:type="dxa"/>
            <w:tcMar>
              <w:top w:w="0" w:type="dxa"/>
              <w:bottom w:w="0" w:type="dxa"/>
            </w:tcMar>
            <w:vAlign w:val="center"/>
          </w:tcPr>
          <w:p w14:paraId="0AD62CF7" w14:textId="77777777" w:rsidR="00C445AE" w:rsidRDefault="00000000" w:rsidP="00742AC7">
            <w:pPr>
              <w:keepNext/>
              <w:keepLines/>
              <w:spacing w:after="0" w:line="240" w:lineRule="auto"/>
              <w:jc w:val="both"/>
            </w:pPr>
            <w:r>
              <w:rPr>
                <w:sz w:val="18"/>
              </w:rPr>
              <w:t>145.365,61</w:t>
            </w:r>
          </w:p>
        </w:tc>
        <w:tc>
          <w:tcPr>
            <w:tcW w:w="700" w:type="dxa"/>
            <w:tcMar>
              <w:top w:w="0" w:type="dxa"/>
              <w:bottom w:w="0" w:type="dxa"/>
            </w:tcMar>
            <w:vAlign w:val="center"/>
          </w:tcPr>
          <w:p w14:paraId="5587ACD6" w14:textId="77777777" w:rsidR="00C445AE" w:rsidRDefault="00000000" w:rsidP="00742AC7">
            <w:pPr>
              <w:keepNext/>
              <w:keepLines/>
              <w:spacing w:after="0" w:line="240" w:lineRule="auto"/>
              <w:jc w:val="both"/>
            </w:pPr>
            <w:r>
              <w:rPr>
                <w:sz w:val="18"/>
              </w:rPr>
              <w:t>142,9</w:t>
            </w:r>
          </w:p>
        </w:tc>
      </w:tr>
    </w:tbl>
    <w:p w14:paraId="4CD839C8" w14:textId="77777777" w:rsidR="00C445AE" w:rsidRDefault="00C445AE" w:rsidP="00742AC7">
      <w:pPr>
        <w:spacing w:after="0"/>
        <w:jc w:val="both"/>
      </w:pPr>
    </w:p>
    <w:p w14:paraId="1E2D8267" w14:textId="068EE48F" w:rsidR="00C445AE" w:rsidRDefault="00000000" w:rsidP="00742AC7">
      <w:pPr>
        <w:jc w:val="both"/>
      </w:pPr>
      <w:r>
        <w:t>Rashodi za intelektualne i osobne usluge (šifre 3237) ostvareni su u iznosu od 145.365,61</w:t>
      </w:r>
      <w:r w:rsidR="00742AC7">
        <w:t xml:space="preserve"> </w:t>
      </w:r>
      <w:r>
        <w:t xml:space="preserve">EUR odnosno sa 42,9% više u odnosu na prošlu godinu u istom izvještajnom razdoblju kad su </w:t>
      </w:r>
      <w:r>
        <w:lastRenderedPageBreak/>
        <w:t>ostvareni u iznosu od 101.722,72 EUR.</w:t>
      </w:r>
      <w:r>
        <w:br/>
        <w:t>Povećanje ovih rashoda u izvještajnom razdoblju uslijedilo je zbog veće angažiranosti stručnjaka inženjera, sudskih tumača, odvjetnika, prevoditelja i raznih drugih stručnjaka, a radi izrade većeg broja procjembenih elaborata, izrade izmjena i dopuna prostorno planskih dokumenata, usluge odvjetnika u parničkih sporovima i drugih usluga.</w:t>
      </w:r>
    </w:p>
    <w:p w14:paraId="52F06D9A" w14:textId="77777777" w:rsidR="00C445AE" w:rsidRDefault="00000000" w:rsidP="00742AC7">
      <w:pPr>
        <w:jc w:val="both"/>
      </w:pPr>
      <w:r>
        <w:t> </w:t>
      </w:r>
    </w:p>
    <w:p w14:paraId="6CA99205" w14:textId="77777777" w:rsidR="00C445AE" w:rsidRDefault="00000000" w:rsidP="00742AC7">
      <w:pPr>
        <w:jc w:val="both"/>
      </w:pPr>
      <w:r>
        <w:t> </w:t>
      </w:r>
    </w:p>
    <w:p w14:paraId="4053CB4B" w14:textId="77777777" w:rsidR="00C445AE" w:rsidRDefault="00C445AE" w:rsidP="00742AC7">
      <w:pPr>
        <w:jc w:val="both"/>
      </w:pPr>
    </w:p>
    <w:p w14:paraId="69AAD14A" w14:textId="77777777" w:rsidR="00C445AE" w:rsidRDefault="00000000" w:rsidP="00742AC7">
      <w:pPr>
        <w:keepNext/>
        <w:spacing w:line="240" w:lineRule="auto"/>
        <w:jc w:val="both"/>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0A194C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2BE3F1"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D46926"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06D28D0E"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67A190B"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251F955D"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7B1C682" w14:textId="77777777" w:rsidR="00C445AE" w:rsidRDefault="00000000" w:rsidP="00742AC7">
            <w:pPr>
              <w:keepNext/>
              <w:keepLines/>
              <w:spacing w:after="0" w:line="240" w:lineRule="auto"/>
              <w:jc w:val="both"/>
            </w:pPr>
            <w:r>
              <w:rPr>
                <w:b/>
                <w:sz w:val="18"/>
              </w:rPr>
              <w:t>Indeks (%)</w:t>
            </w:r>
          </w:p>
        </w:tc>
      </w:tr>
      <w:tr w:rsidR="00C445AE" w14:paraId="359DA87F" w14:textId="77777777">
        <w:tblPrEx>
          <w:tblCellMar>
            <w:top w:w="0" w:type="dxa"/>
            <w:bottom w:w="0" w:type="dxa"/>
          </w:tblCellMar>
        </w:tblPrEx>
        <w:trPr>
          <w:cantSplit/>
          <w:trHeight w:val="560"/>
        </w:trPr>
        <w:tc>
          <w:tcPr>
            <w:tcW w:w="700" w:type="dxa"/>
            <w:tcMar>
              <w:top w:w="0" w:type="dxa"/>
              <w:bottom w:w="0" w:type="dxa"/>
            </w:tcMar>
            <w:vAlign w:val="center"/>
          </w:tcPr>
          <w:p w14:paraId="078A8534" w14:textId="77777777" w:rsidR="00C445AE" w:rsidRDefault="00000000" w:rsidP="00742AC7">
            <w:pPr>
              <w:keepNext/>
              <w:keepLines/>
              <w:spacing w:after="0" w:line="240" w:lineRule="auto"/>
              <w:jc w:val="both"/>
            </w:pPr>
            <w:r>
              <w:rPr>
                <w:sz w:val="18"/>
              </w:rPr>
              <w:t>3238</w:t>
            </w:r>
          </w:p>
        </w:tc>
        <w:tc>
          <w:tcPr>
            <w:tcW w:w="3180" w:type="dxa"/>
            <w:tcMar>
              <w:top w:w="0" w:type="dxa"/>
              <w:bottom w:w="0" w:type="dxa"/>
            </w:tcMar>
            <w:vAlign w:val="center"/>
          </w:tcPr>
          <w:p w14:paraId="6824CEFD" w14:textId="77777777" w:rsidR="00C445AE" w:rsidRDefault="00000000" w:rsidP="00742AC7">
            <w:pPr>
              <w:keepNext/>
              <w:keepLines/>
              <w:spacing w:after="0" w:line="240" w:lineRule="auto"/>
              <w:jc w:val="both"/>
            </w:pPr>
            <w:r>
              <w:rPr>
                <w:sz w:val="18"/>
              </w:rPr>
              <w:t>Računalne usluge</w:t>
            </w:r>
          </w:p>
        </w:tc>
        <w:tc>
          <w:tcPr>
            <w:tcW w:w="700" w:type="dxa"/>
            <w:tcMar>
              <w:top w:w="0" w:type="dxa"/>
              <w:bottom w:w="0" w:type="dxa"/>
            </w:tcMar>
            <w:vAlign w:val="center"/>
          </w:tcPr>
          <w:p w14:paraId="6725BB77" w14:textId="77777777" w:rsidR="00C445AE" w:rsidRDefault="00000000" w:rsidP="00742AC7">
            <w:pPr>
              <w:keepNext/>
              <w:keepLines/>
              <w:spacing w:after="0" w:line="240" w:lineRule="auto"/>
              <w:jc w:val="both"/>
            </w:pPr>
            <w:r>
              <w:rPr>
                <w:sz w:val="18"/>
              </w:rPr>
              <w:t>3238</w:t>
            </w:r>
          </w:p>
        </w:tc>
        <w:tc>
          <w:tcPr>
            <w:tcW w:w="1860" w:type="dxa"/>
            <w:tcMar>
              <w:top w:w="0" w:type="dxa"/>
              <w:bottom w:w="0" w:type="dxa"/>
            </w:tcMar>
            <w:vAlign w:val="center"/>
          </w:tcPr>
          <w:p w14:paraId="2D95B23A" w14:textId="77777777" w:rsidR="00C445AE" w:rsidRDefault="00000000" w:rsidP="00742AC7">
            <w:pPr>
              <w:keepNext/>
              <w:keepLines/>
              <w:spacing w:after="0" w:line="240" w:lineRule="auto"/>
              <w:jc w:val="both"/>
            </w:pPr>
            <w:r>
              <w:rPr>
                <w:sz w:val="18"/>
              </w:rPr>
              <w:t>23.301,36</w:t>
            </w:r>
          </w:p>
        </w:tc>
        <w:tc>
          <w:tcPr>
            <w:tcW w:w="1860" w:type="dxa"/>
            <w:tcMar>
              <w:top w:w="0" w:type="dxa"/>
              <w:bottom w:w="0" w:type="dxa"/>
            </w:tcMar>
            <w:vAlign w:val="center"/>
          </w:tcPr>
          <w:p w14:paraId="62E3276C" w14:textId="77777777" w:rsidR="00C445AE" w:rsidRDefault="00000000" w:rsidP="00742AC7">
            <w:pPr>
              <w:keepNext/>
              <w:keepLines/>
              <w:spacing w:after="0" w:line="240" w:lineRule="auto"/>
              <w:jc w:val="both"/>
            </w:pPr>
            <w:r>
              <w:rPr>
                <w:sz w:val="18"/>
              </w:rPr>
              <w:t>39.882,08</w:t>
            </w:r>
          </w:p>
        </w:tc>
        <w:tc>
          <w:tcPr>
            <w:tcW w:w="700" w:type="dxa"/>
            <w:tcMar>
              <w:top w:w="0" w:type="dxa"/>
              <w:bottom w:w="0" w:type="dxa"/>
            </w:tcMar>
            <w:vAlign w:val="center"/>
          </w:tcPr>
          <w:p w14:paraId="3F6C3798" w14:textId="77777777" w:rsidR="00C445AE" w:rsidRDefault="00000000" w:rsidP="00742AC7">
            <w:pPr>
              <w:keepNext/>
              <w:keepLines/>
              <w:spacing w:after="0" w:line="240" w:lineRule="auto"/>
              <w:jc w:val="both"/>
            </w:pPr>
            <w:r>
              <w:rPr>
                <w:sz w:val="18"/>
              </w:rPr>
              <w:t>171,2</w:t>
            </w:r>
          </w:p>
        </w:tc>
      </w:tr>
    </w:tbl>
    <w:p w14:paraId="7C55E7A6" w14:textId="77777777" w:rsidR="00C445AE" w:rsidRDefault="00C445AE" w:rsidP="00742AC7">
      <w:pPr>
        <w:spacing w:after="0"/>
        <w:jc w:val="both"/>
      </w:pPr>
    </w:p>
    <w:p w14:paraId="06A4D181" w14:textId="77777777" w:rsidR="00C445AE" w:rsidRDefault="00000000" w:rsidP="00742AC7">
      <w:pPr>
        <w:jc w:val="both"/>
      </w:pPr>
      <w:r>
        <w:t>Rashodi za računalne usluge (šifre 3238) ostvareni su u iznosu od  39.882,08 EUR odnosno sa  71,2% u odnosu na prošlu godinu u istom izvještajnom razdoblju kad su ostvareni u iznosu od 23.301,36 EUR.</w:t>
      </w:r>
    </w:p>
    <w:p w14:paraId="7C0601A0" w14:textId="77777777" w:rsidR="00C445AE" w:rsidRDefault="00000000" w:rsidP="00742AC7">
      <w:pPr>
        <w:jc w:val="both"/>
      </w:pPr>
      <w:r>
        <w:t xml:space="preserve">Razlog povećanju ovih rashoda je instalacije novih informatičkih platformi i aplikacija kao što su moduli Ugovora, Fiskalizacije, Kolanje računa, te usluge informatičkih kuća </w:t>
      </w:r>
      <w:proofErr w:type="spellStart"/>
      <w:r>
        <w:t>Infoprojekta</w:t>
      </w:r>
      <w:proofErr w:type="spellEnd"/>
      <w:r>
        <w:t xml:space="preserve"> i </w:t>
      </w:r>
      <w:proofErr w:type="spellStart"/>
      <w:r>
        <w:t>SWINGa</w:t>
      </w:r>
      <w:proofErr w:type="spellEnd"/>
      <w:r>
        <w:t xml:space="preserve"> oko </w:t>
      </w:r>
      <w:proofErr w:type="spellStart"/>
      <w:r>
        <w:t>importacije</w:t>
      </w:r>
      <w:proofErr w:type="spellEnd"/>
      <w:r>
        <w:t xml:space="preserve"> i </w:t>
      </w:r>
      <w:proofErr w:type="spellStart"/>
      <w:r>
        <w:t>eksportacije</w:t>
      </w:r>
      <w:proofErr w:type="spellEnd"/>
      <w:r>
        <w:t xml:space="preserve"> podataka za potrebe izdavanja novih Rješenja za obračun komunalne naknade.</w:t>
      </w:r>
    </w:p>
    <w:p w14:paraId="0D794712" w14:textId="77777777" w:rsidR="00C445AE" w:rsidRDefault="00C445AE" w:rsidP="00742AC7">
      <w:pPr>
        <w:jc w:val="both"/>
      </w:pPr>
    </w:p>
    <w:p w14:paraId="00A83F68" w14:textId="77777777" w:rsidR="00C445AE" w:rsidRDefault="00000000" w:rsidP="00742AC7">
      <w:pPr>
        <w:keepNext/>
        <w:spacing w:line="240" w:lineRule="auto"/>
        <w:jc w:val="both"/>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36BED7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951F4B"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0DE6805"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F498313"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2364206"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68FBD05"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3531E50" w14:textId="77777777" w:rsidR="00C445AE" w:rsidRDefault="00000000" w:rsidP="00742AC7">
            <w:pPr>
              <w:keepNext/>
              <w:keepLines/>
              <w:spacing w:after="0" w:line="240" w:lineRule="auto"/>
              <w:jc w:val="both"/>
            </w:pPr>
            <w:r>
              <w:rPr>
                <w:b/>
                <w:sz w:val="18"/>
              </w:rPr>
              <w:t>Indeks (%)</w:t>
            </w:r>
          </w:p>
        </w:tc>
      </w:tr>
      <w:tr w:rsidR="00C445AE" w14:paraId="73C8C037" w14:textId="77777777">
        <w:tblPrEx>
          <w:tblCellMar>
            <w:top w:w="0" w:type="dxa"/>
            <w:bottom w:w="0" w:type="dxa"/>
          </w:tblCellMar>
        </w:tblPrEx>
        <w:trPr>
          <w:cantSplit/>
          <w:trHeight w:val="560"/>
        </w:trPr>
        <w:tc>
          <w:tcPr>
            <w:tcW w:w="700" w:type="dxa"/>
            <w:tcMar>
              <w:top w:w="0" w:type="dxa"/>
              <w:bottom w:w="0" w:type="dxa"/>
            </w:tcMar>
            <w:vAlign w:val="center"/>
          </w:tcPr>
          <w:p w14:paraId="525B4DCF" w14:textId="77777777" w:rsidR="00C445AE" w:rsidRDefault="00000000" w:rsidP="00742AC7">
            <w:pPr>
              <w:keepNext/>
              <w:keepLines/>
              <w:spacing w:after="0" w:line="240" w:lineRule="auto"/>
              <w:jc w:val="both"/>
            </w:pPr>
            <w:r>
              <w:rPr>
                <w:sz w:val="18"/>
              </w:rPr>
              <w:t>3295</w:t>
            </w:r>
          </w:p>
        </w:tc>
        <w:tc>
          <w:tcPr>
            <w:tcW w:w="3180" w:type="dxa"/>
            <w:tcMar>
              <w:top w:w="0" w:type="dxa"/>
              <w:bottom w:w="0" w:type="dxa"/>
            </w:tcMar>
            <w:vAlign w:val="center"/>
          </w:tcPr>
          <w:p w14:paraId="13C4D68B" w14:textId="77777777" w:rsidR="00C445AE" w:rsidRDefault="00000000" w:rsidP="00742AC7">
            <w:pPr>
              <w:keepNext/>
              <w:keepLines/>
              <w:spacing w:after="0" w:line="240" w:lineRule="auto"/>
              <w:jc w:val="both"/>
            </w:pPr>
            <w:r>
              <w:rPr>
                <w:sz w:val="18"/>
              </w:rPr>
              <w:t>Pristojbe i naknade</w:t>
            </w:r>
          </w:p>
        </w:tc>
        <w:tc>
          <w:tcPr>
            <w:tcW w:w="700" w:type="dxa"/>
            <w:tcMar>
              <w:top w:w="0" w:type="dxa"/>
              <w:bottom w:w="0" w:type="dxa"/>
            </w:tcMar>
            <w:vAlign w:val="center"/>
          </w:tcPr>
          <w:p w14:paraId="01674BE5" w14:textId="77777777" w:rsidR="00C445AE" w:rsidRDefault="00000000" w:rsidP="00742AC7">
            <w:pPr>
              <w:keepNext/>
              <w:keepLines/>
              <w:spacing w:after="0" w:line="240" w:lineRule="auto"/>
              <w:jc w:val="both"/>
            </w:pPr>
            <w:r>
              <w:rPr>
                <w:sz w:val="18"/>
              </w:rPr>
              <w:t>3295</w:t>
            </w:r>
          </w:p>
        </w:tc>
        <w:tc>
          <w:tcPr>
            <w:tcW w:w="1860" w:type="dxa"/>
            <w:tcMar>
              <w:top w:w="0" w:type="dxa"/>
              <w:bottom w:w="0" w:type="dxa"/>
            </w:tcMar>
            <w:vAlign w:val="center"/>
          </w:tcPr>
          <w:p w14:paraId="72D748E9" w14:textId="77777777" w:rsidR="00C445AE" w:rsidRDefault="00000000" w:rsidP="00742AC7">
            <w:pPr>
              <w:keepNext/>
              <w:keepLines/>
              <w:spacing w:after="0" w:line="240" w:lineRule="auto"/>
              <w:jc w:val="both"/>
            </w:pPr>
            <w:r>
              <w:rPr>
                <w:sz w:val="18"/>
              </w:rPr>
              <w:t>1.050,65</w:t>
            </w:r>
          </w:p>
        </w:tc>
        <w:tc>
          <w:tcPr>
            <w:tcW w:w="1860" w:type="dxa"/>
            <w:tcMar>
              <w:top w:w="0" w:type="dxa"/>
              <w:bottom w:w="0" w:type="dxa"/>
            </w:tcMar>
            <w:vAlign w:val="center"/>
          </w:tcPr>
          <w:p w14:paraId="4814FFBE" w14:textId="77777777" w:rsidR="00C445AE" w:rsidRDefault="00000000" w:rsidP="00742AC7">
            <w:pPr>
              <w:keepNext/>
              <w:keepLines/>
              <w:spacing w:after="0" w:line="240" w:lineRule="auto"/>
              <w:jc w:val="both"/>
            </w:pPr>
            <w:r>
              <w:rPr>
                <w:sz w:val="18"/>
              </w:rPr>
              <w:t>17.393,21</w:t>
            </w:r>
          </w:p>
        </w:tc>
        <w:tc>
          <w:tcPr>
            <w:tcW w:w="700" w:type="dxa"/>
            <w:tcMar>
              <w:top w:w="0" w:type="dxa"/>
              <w:bottom w:w="0" w:type="dxa"/>
            </w:tcMar>
            <w:vAlign w:val="center"/>
          </w:tcPr>
          <w:p w14:paraId="68A3ED05" w14:textId="77777777" w:rsidR="00C445AE" w:rsidRDefault="00000000" w:rsidP="00742AC7">
            <w:pPr>
              <w:keepNext/>
              <w:keepLines/>
              <w:spacing w:after="0" w:line="240" w:lineRule="auto"/>
              <w:jc w:val="both"/>
            </w:pPr>
            <w:r>
              <w:rPr>
                <w:sz w:val="18"/>
              </w:rPr>
              <w:t>1655,5</w:t>
            </w:r>
          </w:p>
        </w:tc>
      </w:tr>
    </w:tbl>
    <w:p w14:paraId="7782F14B" w14:textId="77777777" w:rsidR="00C445AE" w:rsidRDefault="00C445AE" w:rsidP="00742AC7">
      <w:pPr>
        <w:spacing w:after="0"/>
        <w:jc w:val="both"/>
      </w:pPr>
    </w:p>
    <w:p w14:paraId="4DB9B66A" w14:textId="77777777" w:rsidR="00742AC7" w:rsidRDefault="00000000" w:rsidP="00742AC7">
      <w:pPr>
        <w:jc w:val="both"/>
      </w:pPr>
      <w:r>
        <w:t xml:space="preserve">Pristojbe i naknade (šifre 3295) ostvarene su u iznosu od 17.393,21 EUR odnosno sa </w:t>
      </w:r>
      <w:r w:rsidR="00742AC7">
        <w:t>1</w:t>
      </w:r>
      <w:r>
        <w:t xml:space="preserve">.555,5% više od realizacije u 2025. godini kad su iznosile 1.050,65 EUR. </w:t>
      </w:r>
    </w:p>
    <w:p w14:paraId="756FB910" w14:textId="5A71759C" w:rsidR="00C445AE" w:rsidRDefault="00000000" w:rsidP="00742AC7">
      <w:r>
        <w:t>Razlog ovog velikog odstupanja je što prošle godine smo knjižili naknade za naplatu prihoda od poreza na dohodak na drugom kontu.</w:t>
      </w:r>
      <w:r>
        <w:br/>
        <w:t> </w:t>
      </w:r>
    </w:p>
    <w:p w14:paraId="5A1B8D87" w14:textId="77777777" w:rsidR="00C445AE" w:rsidRDefault="00C445AE" w:rsidP="00742AC7">
      <w:pPr>
        <w:jc w:val="both"/>
      </w:pPr>
    </w:p>
    <w:p w14:paraId="6E11517A" w14:textId="77777777" w:rsidR="00C445AE" w:rsidRDefault="00000000" w:rsidP="00742AC7">
      <w:pPr>
        <w:keepNext/>
        <w:spacing w:line="240" w:lineRule="auto"/>
        <w:jc w:val="both"/>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7F2141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6FA291"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BC6839"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8F71A7C"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AC007B2"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3F43325"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A5AF978" w14:textId="77777777" w:rsidR="00C445AE" w:rsidRDefault="00000000" w:rsidP="00742AC7">
            <w:pPr>
              <w:keepNext/>
              <w:keepLines/>
              <w:spacing w:after="0" w:line="240" w:lineRule="auto"/>
              <w:jc w:val="both"/>
            </w:pPr>
            <w:r>
              <w:rPr>
                <w:b/>
                <w:sz w:val="18"/>
              </w:rPr>
              <w:t>Indeks (%)</w:t>
            </w:r>
          </w:p>
        </w:tc>
      </w:tr>
      <w:tr w:rsidR="00C445AE" w14:paraId="2DE81CD9" w14:textId="77777777">
        <w:tblPrEx>
          <w:tblCellMar>
            <w:top w:w="0" w:type="dxa"/>
            <w:bottom w:w="0" w:type="dxa"/>
          </w:tblCellMar>
        </w:tblPrEx>
        <w:trPr>
          <w:cantSplit/>
          <w:trHeight w:val="560"/>
        </w:trPr>
        <w:tc>
          <w:tcPr>
            <w:tcW w:w="700" w:type="dxa"/>
            <w:tcMar>
              <w:top w:w="0" w:type="dxa"/>
              <w:bottom w:w="0" w:type="dxa"/>
            </w:tcMar>
            <w:vAlign w:val="center"/>
          </w:tcPr>
          <w:p w14:paraId="39CA062A" w14:textId="77777777" w:rsidR="00C445AE" w:rsidRDefault="00000000" w:rsidP="00742AC7">
            <w:pPr>
              <w:keepNext/>
              <w:keepLines/>
              <w:spacing w:after="0" w:line="240" w:lineRule="auto"/>
              <w:jc w:val="both"/>
            </w:pPr>
            <w:r>
              <w:rPr>
                <w:sz w:val="18"/>
              </w:rPr>
              <w:t>34</w:t>
            </w:r>
          </w:p>
        </w:tc>
        <w:tc>
          <w:tcPr>
            <w:tcW w:w="3180" w:type="dxa"/>
            <w:tcMar>
              <w:top w:w="0" w:type="dxa"/>
              <w:bottom w:w="0" w:type="dxa"/>
            </w:tcMar>
            <w:vAlign w:val="center"/>
          </w:tcPr>
          <w:p w14:paraId="165B3CC5" w14:textId="77777777" w:rsidR="00C445AE" w:rsidRDefault="00000000" w:rsidP="00742AC7">
            <w:pPr>
              <w:keepNext/>
              <w:keepLines/>
              <w:spacing w:after="0" w:line="240" w:lineRule="auto"/>
              <w:jc w:val="both"/>
            </w:pPr>
            <w:r>
              <w:rPr>
                <w:sz w:val="18"/>
              </w:rPr>
              <w:t>Financijski rashodi (šifre 341+342+343)</w:t>
            </w:r>
          </w:p>
        </w:tc>
        <w:tc>
          <w:tcPr>
            <w:tcW w:w="700" w:type="dxa"/>
            <w:tcMar>
              <w:top w:w="0" w:type="dxa"/>
              <w:bottom w:w="0" w:type="dxa"/>
            </w:tcMar>
            <w:vAlign w:val="center"/>
          </w:tcPr>
          <w:p w14:paraId="45371E4B" w14:textId="77777777" w:rsidR="00C445AE" w:rsidRDefault="00000000" w:rsidP="00742AC7">
            <w:pPr>
              <w:keepNext/>
              <w:keepLines/>
              <w:spacing w:after="0" w:line="240" w:lineRule="auto"/>
              <w:jc w:val="both"/>
            </w:pPr>
            <w:r>
              <w:rPr>
                <w:sz w:val="18"/>
              </w:rPr>
              <w:t>34</w:t>
            </w:r>
          </w:p>
        </w:tc>
        <w:tc>
          <w:tcPr>
            <w:tcW w:w="1860" w:type="dxa"/>
            <w:tcMar>
              <w:top w:w="0" w:type="dxa"/>
              <w:bottom w:w="0" w:type="dxa"/>
            </w:tcMar>
            <w:vAlign w:val="center"/>
          </w:tcPr>
          <w:p w14:paraId="6E91FD15" w14:textId="77777777" w:rsidR="00C445AE" w:rsidRDefault="00000000" w:rsidP="00742AC7">
            <w:pPr>
              <w:keepNext/>
              <w:keepLines/>
              <w:spacing w:after="0" w:line="240" w:lineRule="auto"/>
              <w:jc w:val="both"/>
            </w:pPr>
            <w:r>
              <w:rPr>
                <w:sz w:val="18"/>
              </w:rPr>
              <w:t>10.587,84</w:t>
            </w:r>
          </w:p>
        </w:tc>
        <w:tc>
          <w:tcPr>
            <w:tcW w:w="1860" w:type="dxa"/>
            <w:tcMar>
              <w:top w:w="0" w:type="dxa"/>
              <w:bottom w:w="0" w:type="dxa"/>
            </w:tcMar>
            <w:vAlign w:val="center"/>
          </w:tcPr>
          <w:p w14:paraId="71A706A9" w14:textId="77777777" w:rsidR="00C445AE" w:rsidRDefault="00000000" w:rsidP="00742AC7">
            <w:pPr>
              <w:keepNext/>
              <w:keepLines/>
              <w:spacing w:after="0" w:line="240" w:lineRule="auto"/>
              <w:jc w:val="both"/>
            </w:pPr>
            <w:r>
              <w:rPr>
                <w:sz w:val="18"/>
              </w:rPr>
              <w:t>19.304,45</w:t>
            </w:r>
          </w:p>
        </w:tc>
        <w:tc>
          <w:tcPr>
            <w:tcW w:w="700" w:type="dxa"/>
            <w:tcMar>
              <w:top w:w="0" w:type="dxa"/>
              <w:bottom w:w="0" w:type="dxa"/>
            </w:tcMar>
            <w:vAlign w:val="center"/>
          </w:tcPr>
          <w:p w14:paraId="2FB7814C" w14:textId="77777777" w:rsidR="00C445AE" w:rsidRDefault="00000000" w:rsidP="00742AC7">
            <w:pPr>
              <w:keepNext/>
              <w:keepLines/>
              <w:spacing w:after="0" w:line="240" w:lineRule="auto"/>
              <w:jc w:val="both"/>
            </w:pPr>
            <w:r>
              <w:rPr>
                <w:sz w:val="18"/>
              </w:rPr>
              <w:t>182,3</w:t>
            </w:r>
          </w:p>
        </w:tc>
      </w:tr>
    </w:tbl>
    <w:p w14:paraId="3CA77B50" w14:textId="77777777" w:rsidR="00C445AE" w:rsidRDefault="00C445AE" w:rsidP="00742AC7">
      <w:pPr>
        <w:spacing w:after="0"/>
        <w:jc w:val="both"/>
      </w:pPr>
    </w:p>
    <w:p w14:paraId="003274AC" w14:textId="77777777" w:rsidR="00C445AE" w:rsidRDefault="00000000" w:rsidP="00742AC7">
      <w:r>
        <w:t>Financijski rashodi (šifre 341+342+343) 34 ostvareni su u iznosu od 19.304,45 EUR odnosno sa 82,3% u odnosu na prošlu godinu u istom izvještajnom razdoblju kad su ostvareni u iznosu od 10.587,84 EUR.</w:t>
      </w:r>
      <w:r>
        <w:br/>
        <w:t>Razlog povećanju ovih rashoda je najvećim dijelom zbog plaćanja kamata za novo dobiveni dugoročni kredit od Istarske kreditne banke Umag.</w:t>
      </w:r>
      <w:r>
        <w:br/>
      </w:r>
    </w:p>
    <w:p w14:paraId="2AB29E56" w14:textId="77777777" w:rsidR="00C445AE" w:rsidRDefault="00000000" w:rsidP="00742AC7">
      <w:pPr>
        <w:jc w:val="both"/>
      </w:pPr>
      <w:r>
        <w:t> </w:t>
      </w:r>
    </w:p>
    <w:p w14:paraId="21711765" w14:textId="77777777" w:rsidR="00C445AE" w:rsidRDefault="00000000" w:rsidP="00742AC7">
      <w:pPr>
        <w:jc w:val="both"/>
      </w:pPr>
      <w:r>
        <w:t> </w:t>
      </w:r>
    </w:p>
    <w:p w14:paraId="0A9B50DE" w14:textId="77777777" w:rsidR="00C445AE" w:rsidRDefault="00000000" w:rsidP="00742AC7">
      <w:pPr>
        <w:jc w:val="both"/>
      </w:pPr>
      <w:r>
        <w:br/>
        <w:t> </w:t>
      </w:r>
    </w:p>
    <w:p w14:paraId="0379F998" w14:textId="77777777" w:rsidR="00C445AE" w:rsidRDefault="00C445AE" w:rsidP="00742AC7">
      <w:pPr>
        <w:jc w:val="both"/>
      </w:pPr>
    </w:p>
    <w:p w14:paraId="7968DE62" w14:textId="77777777" w:rsidR="00C445AE" w:rsidRDefault="00000000" w:rsidP="00742AC7">
      <w:pPr>
        <w:keepNext/>
        <w:spacing w:line="240" w:lineRule="auto"/>
        <w:jc w:val="both"/>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205D9F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284F36"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739CF6"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E597B1C"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9D4B0D2"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F90455A"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CC15819" w14:textId="77777777" w:rsidR="00C445AE" w:rsidRDefault="00000000" w:rsidP="00742AC7">
            <w:pPr>
              <w:keepNext/>
              <w:keepLines/>
              <w:spacing w:after="0" w:line="240" w:lineRule="auto"/>
              <w:jc w:val="both"/>
            </w:pPr>
            <w:r>
              <w:rPr>
                <w:b/>
                <w:sz w:val="18"/>
              </w:rPr>
              <w:t>Indeks (%)</w:t>
            </w:r>
          </w:p>
        </w:tc>
      </w:tr>
      <w:tr w:rsidR="00C445AE" w14:paraId="14A757BC" w14:textId="77777777">
        <w:tblPrEx>
          <w:tblCellMar>
            <w:top w:w="0" w:type="dxa"/>
            <w:bottom w:w="0" w:type="dxa"/>
          </w:tblCellMar>
        </w:tblPrEx>
        <w:trPr>
          <w:cantSplit/>
          <w:trHeight w:val="560"/>
        </w:trPr>
        <w:tc>
          <w:tcPr>
            <w:tcW w:w="700" w:type="dxa"/>
            <w:tcMar>
              <w:top w:w="0" w:type="dxa"/>
              <w:bottom w:w="0" w:type="dxa"/>
            </w:tcMar>
            <w:vAlign w:val="center"/>
          </w:tcPr>
          <w:p w14:paraId="42ACC6F7" w14:textId="77777777" w:rsidR="00C445AE" w:rsidRDefault="00000000" w:rsidP="00742AC7">
            <w:pPr>
              <w:keepNext/>
              <w:keepLines/>
              <w:spacing w:after="0" w:line="240" w:lineRule="auto"/>
              <w:jc w:val="both"/>
            </w:pPr>
            <w:r>
              <w:rPr>
                <w:sz w:val="18"/>
              </w:rPr>
              <w:t>342</w:t>
            </w:r>
          </w:p>
        </w:tc>
        <w:tc>
          <w:tcPr>
            <w:tcW w:w="3180" w:type="dxa"/>
            <w:tcMar>
              <w:top w:w="0" w:type="dxa"/>
              <w:bottom w:w="0" w:type="dxa"/>
            </w:tcMar>
            <w:vAlign w:val="center"/>
          </w:tcPr>
          <w:p w14:paraId="7959BF81" w14:textId="77777777" w:rsidR="00C445AE" w:rsidRDefault="00000000" w:rsidP="00742AC7">
            <w:pPr>
              <w:keepNext/>
              <w:keepLines/>
              <w:spacing w:after="0" w:line="240" w:lineRule="auto"/>
              <w:jc w:val="both"/>
            </w:pPr>
            <w:r>
              <w:rPr>
                <w:sz w:val="18"/>
              </w:rPr>
              <w:t>Kamate za primljene kredite i zajmove (šifre 3421 do 3428)</w:t>
            </w:r>
          </w:p>
        </w:tc>
        <w:tc>
          <w:tcPr>
            <w:tcW w:w="700" w:type="dxa"/>
            <w:tcMar>
              <w:top w:w="0" w:type="dxa"/>
              <w:bottom w:w="0" w:type="dxa"/>
            </w:tcMar>
            <w:vAlign w:val="center"/>
          </w:tcPr>
          <w:p w14:paraId="0314A689" w14:textId="77777777" w:rsidR="00C445AE" w:rsidRDefault="00000000" w:rsidP="00742AC7">
            <w:pPr>
              <w:keepNext/>
              <w:keepLines/>
              <w:spacing w:after="0" w:line="240" w:lineRule="auto"/>
              <w:jc w:val="both"/>
            </w:pPr>
            <w:r>
              <w:rPr>
                <w:sz w:val="18"/>
              </w:rPr>
              <w:t>342</w:t>
            </w:r>
          </w:p>
        </w:tc>
        <w:tc>
          <w:tcPr>
            <w:tcW w:w="1860" w:type="dxa"/>
            <w:tcMar>
              <w:top w:w="0" w:type="dxa"/>
              <w:bottom w:w="0" w:type="dxa"/>
            </w:tcMar>
            <w:vAlign w:val="center"/>
          </w:tcPr>
          <w:p w14:paraId="4A45942F" w14:textId="77777777" w:rsidR="00C445AE" w:rsidRDefault="00000000" w:rsidP="00742AC7">
            <w:pPr>
              <w:keepNext/>
              <w:keepLines/>
              <w:spacing w:after="0" w:line="240" w:lineRule="auto"/>
              <w:jc w:val="both"/>
            </w:pPr>
            <w:r>
              <w:rPr>
                <w:sz w:val="18"/>
              </w:rPr>
              <w:t>2.058,85</w:t>
            </w:r>
          </w:p>
        </w:tc>
        <w:tc>
          <w:tcPr>
            <w:tcW w:w="1860" w:type="dxa"/>
            <w:tcMar>
              <w:top w:w="0" w:type="dxa"/>
              <w:bottom w:w="0" w:type="dxa"/>
            </w:tcMar>
            <w:vAlign w:val="center"/>
          </w:tcPr>
          <w:p w14:paraId="6A52B4AD" w14:textId="77777777" w:rsidR="00C445AE" w:rsidRDefault="00000000" w:rsidP="00742AC7">
            <w:pPr>
              <w:keepNext/>
              <w:keepLines/>
              <w:spacing w:after="0" w:line="240" w:lineRule="auto"/>
              <w:jc w:val="both"/>
            </w:pPr>
            <w:r>
              <w:rPr>
                <w:sz w:val="18"/>
              </w:rPr>
              <w:t>10.022,33</w:t>
            </w:r>
          </w:p>
        </w:tc>
        <w:tc>
          <w:tcPr>
            <w:tcW w:w="700" w:type="dxa"/>
            <w:tcMar>
              <w:top w:w="0" w:type="dxa"/>
              <w:bottom w:w="0" w:type="dxa"/>
            </w:tcMar>
            <w:vAlign w:val="center"/>
          </w:tcPr>
          <w:p w14:paraId="01EA4D62" w14:textId="77777777" w:rsidR="00C445AE" w:rsidRDefault="00000000" w:rsidP="00742AC7">
            <w:pPr>
              <w:keepNext/>
              <w:keepLines/>
              <w:spacing w:after="0" w:line="240" w:lineRule="auto"/>
              <w:jc w:val="both"/>
            </w:pPr>
            <w:r>
              <w:rPr>
                <w:sz w:val="18"/>
              </w:rPr>
              <w:t>486,8</w:t>
            </w:r>
          </w:p>
        </w:tc>
      </w:tr>
    </w:tbl>
    <w:p w14:paraId="72DD8470" w14:textId="77777777" w:rsidR="00C445AE" w:rsidRDefault="00C445AE" w:rsidP="00742AC7">
      <w:pPr>
        <w:spacing w:after="0"/>
        <w:jc w:val="both"/>
      </w:pPr>
    </w:p>
    <w:p w14:paraId="372EB5EC" w14:textId="77777777" w:rsidR="00C445AE" w:rsidRDefault="00000000" w:rsidP="00742AC7">
      <w:pPr>
        <w:jc w:val="both"/>
      </w:pPr>
      <w:r>
        <w:t>Kamate za primljene kredite i zajmove (šifre 3421 do 3428) 342 ostvareni su u iznosu od  10.022,33 EUR odnosno sa 386,8 % više u odnosu na prošlu godinu u istom izvještajnom razdoblju kad su ostvareni u iznosu od  2.058,85 EUR.</w:t>
      </w:r>
      <w:r>
        <w:br/>
        <w:t>Povećanje rashoda za kamate za primljene kredite i zajmove prethodno već objašnjeno - zbog plaćanja kamata za novi dugoročni kredit dobivenog od IKB-a.</w:t>
      </w:r>
    </w:p>
    <w:p w14:paraId="1605F4AE" w14:textId="77777777" w:rsidR="00C445AE" w:rsidRDefault="00000000" w:rsidP="00742AC7">
      <w:pPr>
        <w:jc w:val="both"/>
      </w:pPr>
      <w:r>
        <w:br/>
        <w:t> </w:t>
      </w:r>
    </w:p>
    <w:p w14:paraId="7D8877CC" w14:textId="77777777" w:rsidR="00C445AE" w:rsidRDefault="00C445AE" w:rsidP="00742AC7">
      <w:pPr>
        <w:jc w:val="both"/>
      </w:pPr>
    </w:p>
    <w:p w14:paraId="7768BCF9" w14:textId="77777777" w:rsidR="00C445AE" w:rsidRDefault="00000000" w:rsidP="00742AC7">
      <w:pPr>
        <w:keepNext/>
        <w:spacing w:line="240" w:lineRule="auto"/>
        <w:jc w:val="both"/>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4D0676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26A402"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6E8478"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3DCBBB9"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61A70A9"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1F60F60A"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5CB8DA9" w14:textId="77777777" w:rsidR="00C445AE" w:rsidRDefault="00000000" w:rsidP="00742AC7">
            <w:pPr>
              <w:keepNext/>
              <w:keepLines/>
              <w:spacing w:after="0" w:line="240" w:lineRule="auto"/>
              <w:jc w:val="both"/>
            </w:pPr>
            <w:r>
              <w:rPr>
                <w:b/>
                <w:sz w:val="18"/>
              </w:rPr>
              <w:t>Indeks (%)</w:t>
            </w:r>
          </w:p>
        </w:tc>
      </w:tr>
      <w:tr w:rsidR="00C445AE" w14:paraId="2B8B5C56" w14:textId="77777777">
        <w:tblPrEx>
          <w:tblCellMar>
            <w:top w:w="0" w:type="dxa"/>
            <w:bottom w:w="0" w:type="dxa"/>
          </w:tblCellMar>
        </w:tblPrEx>
        <w:trPr>
          <w:cantSplit/>
          <w:trHeight w:val="560"/>
        </w:trPr>
        <w:tc>
          <w:tcPr>
            <w:tcW w:w="700" w:type="dxa"/>
            <w:tcMar>
              <w:top w:w="0" w:type="dxa"/>
              <w:bottom w:w="0" w:type="dxa"/>
            </w:tcMar>
            <w:vAlign w:val="center"/>
          </w:tcPr>
          <w:p w14:paraId="0C0820E4" w14:textId="77777777" w:rsidR="00C445AE" w:rsidRDefault="00000000" w:rsidP="00742AC7">
            <w:pPr>
              <w:keepNext/>
              <w:keepLines/>
              <w:spacing w:after="0" w:line="240" w:lineRule="auto"/>
              <w:jc w:val="both"/>
            </w:pPr>
            <w:r>
              <w:rPr>
                <w:sz w:val="18"/>
              </w:rPr>
              <w:t>35</w:t>
            </w:r>
          </w:p>
        </w:tc>
        <w:tc>
          <w:tcPr>
            <w:tcW w:w="3180" w:type="dxa"/>
            <w:tcMar>
              <w:top w:w="0" w:type="dxa"/>
              <w:bottom w:w="0" w:type="dxa"/>
            </w:tcMar>
            <w:vAlign w:val="center"/>
          </w:tcPr>
          <w:p w14:paraId="2EE287D2" w14:textId="77777777" w:rsidR="00C445AE" w:rsidRDefault="00000000" w:rsidP="00742AC7">
            <w:pPr>
              <w:keepNext/>
              <w:keepLines/>
              <w:spacing w:after="0" w:line="240" w:lineRule="auto"/>
              <w:jc w:val="both"/>
            </w:pPr>
            <w:r>
              <w:rPr>
                <w:sz w:val="18"/>
              </w:rPr>
              <w:t>Subvencije (šifre 351+352+353)</w:t>
            </w:r>
          </w:p>
        </w:tc>
        <w:tc>
          <w:tcPr>
            <w:tcW w:w="700" w:type="dxa"/>
            <w:tcMar>
              <w:top w:w="0" w:type="dxa"/>
              <w:bottom w:w="0" w:type="dxa"/>
            </w:tcMar>
            <w:vAlign w:val="center"/>
          </w:tcPr>
          <w:p w14:paraId="43815795" w14:textId="77777777" w:rsidR="00C445AE" w:rsidRDefault="00000000" w:rsidP="00742AC7">
            <w:pPr>
              <w:keepNext/>
              <w:keepLines/>
              <w:spacing w:after="0" w:line="240" w:lineRule="auto"/>
              <w:jc w:val="both"/>
            </w:pPr>
            <w:r>
              <w:rPr>
                <w:sz w:val="18"/>
              </w:rPr>
              <w:t>35</w:t>
            </w:r>
          </w:p>
        </w:tc>
        <w:tc>
          <w:tcPr>
            <w:tcW w:w="1860" w:type="dxa"/>
            <w:tcMar>
              <w:top w:w="0" w:type="dxa"/>
              <w:bottom w:w="0" w:type="dxa"/>
            </w:tcMar>
            <w:vAlign w:val="center"/>
          </w:tcPr>
          <w:p w14:paraId="5409D63B" w14:textId="77777777" w:rsidR="00C445AE" w:rsidRDefault="00000000" w:rsidP="00742AC7">
            <w:pPr>
              <w:keepNext/>
              <w:keepLines/>
              <w:spacing w:after="0" w:line="240" w:lineRule="auto"/>
              <w:jc w:val="both"/>
            </w:pPr>
            <w:r>
              <w:rPr>
                <w:sz w:val="18"/>
              </w:rPr>
              <w:t>122.597,74</w:t>
            </w:r>
          </w:p>
        </w:tc>
        <w:tc>
          <w:tcPr>
            <w:tcW w:w="1860" w:type="dxa"/>
            <w:tcMar>
              <w:top w:w="0" w:type="dxa"/>
              <w:bottom w:w="0" w:type="dxa"/>
            </w:tcMar>
            <w:vAlign w:val="center"/>
          </w:tcPr>
          <w:p w14:paraId="186C6CE1" w14:textId="77777777" w:rsidR="00C445AE" w:rsidRDefault="00000000" w:rsidP="00742AC7">
            <w:pPr>
              <w:keepNext/>
              <w:keepLines/>
              <w:spacing w:after="0" w:line="240" w:lineRule="auto"/>
              <w:jc w:val="both"/>
            </w:pPr>
            <w:r>
              <w:rPr>
                <w:sz w:val="18"/>
              </w:rPr>
              <w:t>164.644,71</w:t>
            </w:r>
          </w:p>
        </w:tc>
        <w:tc>
          <w:tcPr>
            <w:tcW w:w="700" w:type="dxa"/>
            <w:tcMar>
              <w:top w:w="0" w:type="dxa"/>
              <w:bottom w:w="0" w:type="dxa"/>
            </w:tcMar>
            <w:vAlign w:val="center"/>
          </w:tcPr>
          <w:p w14:paraId="1299A63E" w14:textId="77777777" w:rsidR="00C445AE" w:rsidRDefault="00000000" w:rsidP="00742AC7">
            <w:pPr>
              <w:keepNext/>
              <w:keepLines/>
              <w:spacing w:after="0" w:line="240" w:lineRule="auto"/>
              <w:jc w:val="both"/>
            </w:pPr>
            <w:r>
              <w:rPr>
                <w:sz w:val="18"/>
              </w:rPr>
              <w:t>134,3</w:t>
            </w:r>
          </w:p>
        </w:tc>
      </w:tr>
    </w:tbl>
    <w:p w14:paraId="1C62117B" w14:textId="77777777" w:rsidR="00C445AE" w:rsidRDefault="00C445AE" w:rsidP="00742AC7">
      <w:pPr>
        <w:spacing w:after="0"/>
        <w:jc w:val="both"/>
      </w:pPr>
    </w:p>
    <w:p w14:paraId="48DCBD89" w14:textId="77777777" w:rsidR="00742AC7" w:rsidRDefault="00000000" w:rsidP="00742AC7">
      <w:r>
        <w:t xml:space="preserve">Subvencije (šifre 351+352+353) 35 ostvareni su u iznosu od 164.644,71 EUR odnosno sa </w:t>
      </w:r>
    </w:p>
    <w:p w14:paraId="79456509" w14:textId="32E2FBA5" w:rsidR="00C445AE" w:rsidRDefault="00000000" w:rsidP="00742AC7">
      <w:r>
        <w:lastRenderedPageBreak/>
        <w:t>34,3 % u odnosu na prošlu godinu u istom izvještajnom razdoblju kad su ostvareni u iznosu od 122.597,74 EUR.</w:t>
      </w:r>
      <w:r>
        <w:br/>
      </w:r>
      <w:r>
        <w:br/>
      </w:r>
    </w:p>
    <w:p w14:paraId="764203CD" w14:textId="77777777" w:rsidR="00C445AE" w:rsidRDefault="00000000" w:rsidP="00742AC7">
      <w:pPr>
        <w:jc w:val="both"/>
      </w:pPr>
      <w:r>
        <w:br/>
        <w:t> </w:t>
      </w:r>
    </w:p>
    <w:p w14:paraId="5D98C14A" w14:textId="77777777" w:rsidR="00C445AE" w:rsidRDefault="00C445AE" w:rsidP="00742AC7">
      <w:pPr>
        <w:jc w:val="both"/>
      </w:pPr>
    </w:p>
    <w:p w14:paraId="483C0A6D" w14:textId="77777777" w:rsidR="00C445AE" w:rsidRDefault="00000000" w:rsidP="00742AC7">
      <w:pPr>
        <w:keepNext/>
        <w:spacing w:line="240" w:lineRule="auto"/>
        <w:jc w:val="both"/>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65E7AB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68C992"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09B4F0"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46F3F4B"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ADBED80"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2330564"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A62A883" w14:textId="77777777" w:rsidR="00C445AE" w:rsidRDefault="00000000" w:rsidP="00742AC7">
            <w:pPr>
              <w:keepNext/>
              <w:keepLines/>
              <w:spacing w:after="0" w:line="240" w:lineRule="auto"/>
              <w:jc w:val="both"/>
            </w:pPr>
            <w:r>
              <w:rPr>
                <w:b/>
                <w:sz w:val="18"/>
              </w:rPr>
              <w:t>Indeks (%)</w:t>
            </w:r>
          </w:p>
        </w:tc>
      </w:tr>
      <w:tr w:rsidR="00C445AE" w14:paraId="1CA036C7" w14:textId="77777777">
        <w:tblPrEx>
          <w:tblCellMar>
            <w:top w:w="0" w:type="dxa"/>
            <w:bottom w:w="0" w:type="dxa"/>
          </w:tblCellMar>
        </w:tblPrEx>
        <w:trPr>
          <w:cantSplit/>
          <w:trHeight w:val="560"/>
        </w:trPr>
        <w:tc>
          <w:tcPr>
            <w:tcW w:w="700" w:type="dxa"/>
            <w:tcMar>
              <w:top w:w="0" w:type="dxa"/>
              <w:bottom w:w="0" w:type="dxa"/>
            </w:tcMar>
            <w:vAlign w:val="center"/>
          </w:tcPr>
          <w:p w14:paraId="03BCFEAC" w14:textId="77777777" w:rsidR="00C445AE" w:rsidRDefault="00000000" w:rsidP="00742AC7">
            <w:pPr>
              <w:keepNext/>
              <w:keepLines/>
              <w:spacing w:after="0" w:line="240" w:lineRule="auto"/>
              <w:jc w:val="both"/>
            </w:pPr>
            <w:r>
              <w:rPr>
                <w:sz w:val="18"/>
              </w:rPr>
              <w:t>3512</w:t>
            </w:r>
          </w:p>
        </w:tc>
        <w:tc>
          <w:tcPr>
            <w:tcW w:w="3180" w:type="dxa"/>
            <w:tcMar>
              <w:top w:w="0" w:type="dxa"/>
              <w:bottom w:w="0" w:type="dxa"/>
            </w:tcMar>
            <w:vAlign w:val="center"/>
          </w:tcPr>
          <w:p w14:paraId="0482BB18" w14:textId="77777777" w:rsidR="00C445AE" w:rsidRDefault="00000000" w:rsidP="00742AC7">
            <w:pPr>
              <w:keepNext/>
              <w:keepLines/>
              <w:spacing w:after="0" w:line="240" w:lineRule="auto"/>
              <w:jc w:val="both"/>
            </w:pPr>
            <w:r>
              <w:rPr>
                <w:sz w:val="18"/>
              </w:rPr>
              <w:t>Subvencije trgovačkim društvima u javnom sektoru</w:t>
            </w:r>
          </w:p>
        </w:tc>
        <w:tc>
          <w:tcPr>
            <w:tcW w:w="700" w:type="dxa"/>
            <w:tcMar>
              <w:top w:w="0" w:type="dxa"/>
              <w:bottom w:w="0" w:type="dxa"/>
            </w:tcMar>
            <w:vAlign w:val="center"/>
          </w:tcPr>
          <w:p w14:paraId="26503A72" w14:textId="77777777" w:rsidR="00C445AE" w:rsidRDefault="00000000" w:rsidP="00742AC7">
            <w:pPr>
              <w:keepNext/>
              <w:keepLines/>
              <w:spacing w:after="0" w:line="240" w:lineRule="auto"/>
              <w:jc w:val="both"/>
            </w:pPr>
            <w:r>
              <w:rPr>
                <w:sz w:val="18"/>
              </w:rPr>
              <w:t>3512</w:t>
            </w:r>
          </w:p>
        </w:tc>
        <w:tc>
          <w:tcPr>
            <w:tcW w:w="1860" w:type="dxa"/>
            <w:tcMar>
              <w:top w:w="0" w:type="dxa"/>
              <w:bottom w:w="0" w:type="dxa"/>
            </w:tcMar>
            <w:vAlign w:val="center"/>
          </w:tcPr>
          <w:p w14:paraId="6EDF0020" w14:textId="77777777" w:rsidR="00C445AE" w:rsidRDefault="00000000" w:rsidP="00742AC7">
            <w:pPr>
              <w:keepNext/>
              <w:keepLines/>
              <w:spacing w:after="0" w:line="240" w:lineRule="auto"/>
              <w:jc w:val="both"/>
            </w:pPr>
            <w:r>
              <w:rPr>
                <w:sz w:val="18"/>
              </w:rPr>
              <w:t>21.802,04</w:t>
            </w:r>
          </w:p>
        </w:tc>
        <w:tc>
          <w:tcPr>
            <w:tcW w:w="1860" w:type="dxa"/>
            <w:tcMar>
              <w:top w:w="0" w:type="dxa"/>
              <w:bottom w:w="0" w:type="dxa"/>
            </w:tcMar>
            <w:vAlign w:val="center"/>
          </w:tcPr>
          <w:p w14:paraId="7C14CE39" w14:textId="77777777" w:rsidR="00C445AE" w:rsidRDefault="00000000" w:rsidP="00742AC7">
            <w:pPr>
              <w:keepNext/>
              <w:keepLines/>
              <w:spacing w:after="0" w:line="240" w:lineRule="auto"/>
              <w:jc w:val="both"/>
            </w:pPr>
            <w:r>
              <w:rPr>
                <w:sz w:val="18"/>
              </w:rPr>
              <w:t>42.765,66</w:t>
            </w:r>
          </w:p>
        </w:tc>
        <w:tc>
          <w:tcPr>
            <w:tcW w:w="700" w:type="dxa"/>
            <w:tcMar>
              <w:top w:w="0" w:type="dxa"/>
              <w:bottom w:w="0" w:type="dxa"/>
            </w:tcMar>
            <w:vAlign w:val="center"/>
          </w:tcPr>
          <w:p w14:paraId="453851A0" w14:textId="77777777" w:rsidR="00C445AE" w:rsidRDefault="00000000" w:rsidP="00742AC7">
            <w:pPr>
              <w:keepNext/>
              <w:keepLines/>
              <w:spacing w:after="0" w:line="240" w:lineRule="auto"/>
              <w:jc w:val="both"/>
            </w:pPr>
            <w:r>
              <w:rPr>
                <w:sz w:val="18"/>
              </w:rPr>
              <w:t>196,2</w:t>
            </w:r>
          </w:p>
        </w:tc>
      </w:tr>
    </w:tbl>
    <w:p w14:paraId="496226FE" w14:textId="77777777" w:rsidR="00C445AE" w:rsidRDefault="00C445AE" w:rsidP="00742AC7">
      <w:pPr>
        <w:spacing w:after="0"/>
        <w:jc w:val="both"/>
      </w:pPr>
    </w:p>
    <w:p w14:paraId="557EA8AD" w14:textId="77777777" w:rsidR="00C445AE" w:rsidRDefault="00000000" w:rsidP="00742AC7">
      <w:pPr>
        <w:jc w:val="both"/>
      </w:pPr>
      <w:r>
        <w:t>Subvencije trgovačkim društvima u javnom sektoru (šifra 3512) ostvareni su u iznosu od  42.765,66 EUR odnosno sa 96,2% više u odnosu na prošlu godinu u istom izvještajnom razdoblju kad su ostvareni u iznosu od  21.802,04 EUR.</w:t>
      </w:r>
    </w:p>
    <w:p w14:paraId="7719DCD8" w14:textId="77777777" w:rsidR="00C445AE" w:rsidRDefault="00000000" w:rsidP="00742AC7">
      <w:pPr>
        <w:jc w:val="both"/>
      </w:pPr>
      <w:r>
        <w:t>Povećanje subvencija u izvještajnom razdoblju proizašle su iz većih zahtjeva trgovačkog društva Pula prometa za subvencioniranje javnog prijevoza za 2026. godinu.</w:t>
      </w:r>
    </w:p>
    <w:p w14:paraId="363A4F2B" w14:textId="77777777" w:rsidR="00C445AE" w:rsidRDefault="00C445AE" w:rsidP="00742AC7">
      <w:pPr>
        <w:jc w:val="both"/>
      </w:pPr>
    </w:p>
    <w:p w14:paraId="75FBF278" w14:textId="77777777" w:rsidR="00C445AE" w:rsidRDefault="00000000" w:rsidP="00742AC7">
      <w:pPr>
        <w:keepNext/>
        <w:spacing w:line="240" w:lineRule="auto"/>
        <w:jc w:val="both"/>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1322E9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91DB3B"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94472B"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67B0334"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836BFC7"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767FF9F"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BC657CB" w14:textId="77777777" w:rsidR="00C445AE" w:rsidRDefault="00000000" w:rsidP="00742AC7">
            <w:pPr>
              <w:keepNext/>
              <w:keepLines/>
              <w:spacing w:after="0" w:line="240" w:lineRule="auto"/>
              <w:jc w:val="both"/>
            </w:pPr>
            <w:r>
              <w:rPr>
                <w:b/>
                <w:sz w:val="18"/>
              </w:rPr>
              <w:t>Indeks (%)</w:t>
            </w:r>
          </w:p>
        </w:tc>
      </w:tr>
      <w:tr w:rsidR="00C445AE" w14:paraId="382591DE" w14:textId="77777777">
        <w:tblPrEx>
          <w:tblCellMar>
            <w:top w:w="0" w:type="dxa"/>
            <w:bottom w:w="0" w:type="dxa"/>
          </w:tblCellMar>
        </w:tblPrEx>
        <w:trPr>
          <w:cantSplit/>
          <w:trHeight w:val="560"/>
        </w:trPr>
        <w:tc>
          <w:tcPr>
            <w:tcW w:w="700" w:type="dxa"/>
            <w:tcMar>
              <w:top w:w="0" w:type="dxa"/>
              <w:bottom w:w="0" w:type="dxa"/>
            </w:tcMar>
            <w:vAlign w:val="center"/>
          </w:tcPr>
          <w:p w14:paraId="3D593D4B" w14:textId="77777777" w:rsidR="00C445AE" w:rsidRDefault="00000000" w:rsidP="00742AC7">
            <w:pPr>
              <w:keepNext/>
              <w:keepLines/>
              <w:spacing w:after="0" w:line="240" w:lineRule="auto"/>
              <w:jc w:val="both"/>
            </w:pPr>
            <w:r>
              <w:rPr>
                <w:sz w:val="18"/>
              </w:rPr>
              <w:t>386</w:t>
            </w:r>
          </w:p>
        </w:tc>
        <w:tc>
          <w:tcPr>
            <w:tcW w:w="3180" w:type="dxa"/>
            <w:tcMar>
              <w:top w:w="0" w:type="dxa"/>
              <w:bottom w:w="0" w:type="dxa"/>
            </w:tcMar>
            <w:vAlign w:val="center"/>
          </w:tcPr>
          <w:p w14:paraId="23913213" w14:textId="77777777" w:rsidR="00C445AE" w:rsidRDefault="00000000" w:rsidP="00742AC7">
            <w:pPr>
              <w:keepNext/>
              <w:keepLines/>
              <w:spacing w:after="0" w:line="240" w:lineRule="auto"/>
              <w:jc w:val="both"/>
            </w:pPr>
            <w:r>
              <w:rPr>
                <w:sz w:val="18"/>
              </w:rPr>
              <w:t>Kapitalne pomoći (šifre 3861 do 3865)</w:t>
            </w:r>
          </w:p>
        </w:tc>
        <w:tc>
          <w:tcPr>
            <w:tcW w:w="700" w:type="dxa"/>
            <w:tcMar>
              <w:top w:w="0" w:type="dxa"/>
              <w:bottom w:w="0" w:type="dxa"/>
            </w:tcMar>
            <w:vAlign w:val="center"/>
          </w:tcPr>
          <w:p w14:paraId="143AD5DA" w14:textId="77777777" w:rsidR="00C445AE" w:rsidRDefault="00000000" w:rsidP="00742AC7">
            <w:pPr>
              <w:keepNext/>
              <w:keepLines/>
              <w:spacing w:after="0" w:line="240" w:lineRule="auto"/>
              <w:jc w:val="both"/>
            </w:pPr>
            <w:r>
              <w:rPr>
                <w:sz w:val="18"/>
              </w:rPr>
              <w:t>386</w:t>
            </w:r>
          </w:p>
        </w:tc>
        <w:tc>
          <w:tcPr>
            <w:tcW w:w="1860" w:type="dxa"/>
            <w:tcMar>
              <w:top w:w="0" w:type="dxa"/>
              <w:bottom w:w="0" w:type="dxa"/>
            </w:tcMar>
            <w:vAlign w:val="center"/>
          </w:tcPr>
          <w:p w14:paraId="302AC298" w14:textId="77777777" w:rsidR="00C445AE" w:rsidRDefault="00000000" w:rsidP="00742AC7">
            <w:pPr>
              <w:keepNext/>
              <w:keepLines/>
              <w:spacing w:after="0" w:line="240" w:lineRule="auto"/>
              <w:jc w:val="both"/>
            </w:pPr>
            <w:r>
              <w:rPr>
                <w:sz w:val="18"/>
              </w:rPr>
              <w:t>42.043,05</w:t>
            </w:r>
          </w:p>
        </w:tc>
        <w:tc>
          <w:tcPr>
            <w:tcW w:w="1860" w:type="dxa"/>
            <w:tcMar>
              <w:top w:w="0" w:type="dxa"/>
              <w:bottom w:w="0" w:type="dxa"/>
            </w:tcMar>
            <w:vAlign w:val="center"/>
          </w:tcPr>
          <w:p w14:paraId="7378161C" w14:textId="77777777" w:rsidR="00C445AE" w:rsidRDefault="00000000" w:rsidP="00742AC7">
            <w:pPr>
              <w:keepNext/>
              <w:keepLines/>
              <w:spacing w:after="0" w:line="240" w:lineRule="auto"/>
              <w:jc w:val="both"/>
            </w:pPr>
            <w:r>
              <w:rPr>
                <w:sz w:val="18"/>
              </w:rPr>
              <w:t>66.253,30</w:t>
            </w:r>
          </w:p>
        </w:tc>
        <w:tc>
          <w:tcPr>
            <w:tcW w:w="700" w:type="dxa"/>
            <w:tcMar>
              <w:top w:w="0" w:type="dxa"/>
              <w:bottom w:w="0" w:type="dxa"/>
            </w:tcMar>
            <w:vAlign w:val="center"/>
          </w:tcPr>
          <w:p w14:paraId="60F528A8" w14:textId="77777777" w:rsidR="00C445AE" w:rsidRDefault="00000000" w:rsidP="00742AC7">
            <w:pPr>
              <w:keepNext/>
              <w:keepLines/>
              <w:spacing w:after="0" w:line="240" w:lineRule="auto"/>
              <w:jc w:val="both"/>
            </w:pPr>
            <w:r>
              <w:rPr>
                <w:sz w:val="18"/>
              </w:rPr>
              <w:t>157,6</w:t>
            </w:r>
          </w:p>
        </w:tc>
      </w:tr>
    </w:tbl>
    <w:p w14:paraId="1459CD83" w14:textId="77777777" w:rsidR="00C445AE" w:rsidRDefault="00C445AE" w:rsidP="00742AC7">
      <w:pPr>
        <w:spacing w:after="0"/>
        <w:jc w:val="both"/>
      </w:pPr>
    </w:p>
    <w:p w14:paraId="542DE897" w14:textId="77777777" w:rsidR="00C445AE" w:rsidRDefault="00000000" w:rsidP="00742AC7">
      <w:pPr>
        <w:jc w:val="both"/>
      </w:pPr>
      <w:r>
        <w:t>Kapitalne pomoći (šifre 3861 do 3865) 386 ostvareni su u iznosu od 66.253,30 EUR odnosno sa 57,6% više u odnosu na prošlu godinu u istom izvještajnom razdoblju kad su ostvareni u iznosu od  42.043,05 EUR.</w:t>
      </w:r>
    </w:p>
    <w:p w14:paraId="0040C612" w14:textId="77777777" w:rsidR="00C445AE" w:rsidRDefault="00C445AE" w:rsidP="00742AC7">
      <w:pPr>
        <w:jc w:val="both"/>
      </w:pPr>
    </w:p>
    <w:p w14:paraId="4FFB5284" w14:textId="77777777" w:rsidR="00C445AE" w:rsidRDefault="00000000" w:rsidP="00742AC7">
      <w:pPr>
        <w:keepNext/>
        <w:spacing w:line="240" w:lineRule="auto"/>
        <w:jc w:val="both"/>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1494D0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9971B6"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AC4096"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F36A2DD"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E12F977"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8F90366"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4045098" w14:textId="77777777" w:rsidR="00C445AE" w:rsidRDefault="00000000" w:rsidP="00742AC7">
            <w:pPr>
              <w:keepNext/>
              <w:keepLines/>
              <w:spacing w:after="0" w:line="240" w:lineRule="auto"/>
              <w:jc w:val="both"/>
            </w:pPr>
            <w:r>
              <w:rPr>
                <w:b/>
                <w:sz w:val="18"/>
              </w:rPr>
              <w:t>Indeks (%)</w:t>
            </w:r>
          </w:p>
        </w:tc>
      </w:tr>
      <w:tr w:rsidR="00C445AE" w14:paraId="0BFC6C7C" w14:textId="77777777">
        <w:tblPrEx>
          <w:tblCellMar>
            <w:top w:w="0" w:type="dxa"/>
            <w:bottom w:w="0" w:type="dxa"/>
          </w:tblCellMar>
        </w:tblPrEx>
        <w:trPr>
          <w:cantSplit/>
          <w:trHeight w:val="560"/>
        </w:trPr>
        <w:tc>
          <w:tcPr>
            <w:tcW w:w="700" w:type="dxa"/>
            <w:tcMar>
              <w:top w:w="0" w:type="dxa"/>
              <w:bottom w:w="0" w:type="dxa"/>
            </w:tcMar>
            <w:vAlign w:val="center"/>
          </w:tcPr>
          <w:p w14:paraId="2C16678C" w14:textId="77777777" w:rsidR="00C445AE" w:rsidRDefault="00000000" w:rsidP="00742AC7">
            <w:pPr>
              <w:keepNext/>
              <w:keepLines/>
              <w:spacing w:after="0" w:line="240" w:lineRule="auto"/>
              <w:jc w:val="both"/>
            </w:pPr>
            <w:r>
              <w:rPr>
                <w:sz w:val="18"/>
              </w:rPr>
              <w:t>3861</w:t>
            </w:r>
          </w:p>
        </w:tc>
        <w:tc>
          <w:tcPr>
            <w:tcW w:w="3180" w:type="dxa"/>
            <w:tcMar>
              <w:top w:w="0" w:type="dxa"/>
              <w:bottom w:w="0" w:type="dxa"/>
            </w:tcMar>
            <w:vAlign w:val="center"/>
          </w:tcPr>
          <w:p w14:paraId="728F3282" w14:textId="77777777" w:rsidR="00C445AE" w:rsidRDefault="00000000" w:rsidP="00742AC7">
            <w:pPr>
              <w:keepNext/>
              <w:keepLines/>
              <w:spacing w:after="0" w:line="240" w:lineRule="auto"/>
              <w:jc w:val="both"/>
            </w:pPr>
            <w:r>
              <w:rPr>
                <w:sz w:val="18"/>
              </w:rPr>
              <w:t>Kapitalne pomoći kreditnim i ostalim financijskim institucijama te trgovačkim društvima u javnom sektoru</w:t>
            </w:r>
          </w:p>
        </w:tc>
        <w:tc>
          <w:tcPr>
            <w:tcW w:w="700" w:type="dxa"/>
            <w:tcMar>
              <w:top w:w="0" w:type="dxa"/>
              <w:bottom w:w="0" w:type="dxa"/>
            </w:tcMar>
            <w:vAlign w:val="center"/>
          </w:tcPr>
          <w:p w14:paraId="7A919E75" w14:textId="77777777" w:rsidR="00C445AE" w:rsidRDefault="00000000" w:rsidP="00742AC7">
            <w:pPr>
              <w:keepNext/>
              <w:keepLines/>
              <w:spacing w:after="0" w:line="240" w:lineRule="auto"/>
              <w:jc w:val="both"/>
            </w:pPr>
            <w:r>
              <w:rPr>
                <w:sz w:val="18"/>
              </w:rPr>
              <w:t>3861</w:t>
            </w:r>
          </w:p>
        </w:tc>
        <w:tc>
          <w:tcPr>
            <w:tcW w:w="1860" w:type="dxa"/>
            <w:tcMar>
              <w:top w:w="0" w:type="dxa"/>
              <w:bottom w:w="0" w:type="dxa"/>
            </w:tcMar>
            <w:vAlign w:val="center"/>
          </w:tcPr>
          <w:p w14:paraId="3F78EACF" w14:textId="77777777" w:rsidR="00C445AE" w:rsidRDefault="00000000" w:rsidP="00742AC7">
            <w:pPr>
              <w:keepNext/>
              <w:keepLines/>
              <w:spacing w:after="0" w:line="240" w:lineRule="auto"/>
              <w:jc w:val="both"/>
            </w:pPr>
            <w:r>
              <w:rPr>
                <w:sz w:val="18"/>
              </w:rPr>
              <w:t>42.043,05</w:t>
            </w:r>
          </w:p>
        </w:tc>
        <w:tc>
          <w:tcPr>
            <w:tcW w:w="1860" w:type="dxa"/>
            <w:tcMar>
              <w:top w:w="0" w:type="dxa"/>
              <w:bottom w:w="0" w:type="dxa"/>
            </w:tcMar>
            <w:vAlign w:val="center"/>
          </w:tcPr>
          <w:p w14:paraId="1CD4EE3A" w14:textId="77777777" w:rsidR="00C445AE" w:rsidRDefault="00000000" w:rsidP="00742AC7">
            <w:pPr>
              <w:keepNext/>
              <w:keepLines/>
              <w:spacing w:after="0" w:line="240" w:lineRule="auto"/>
              <w:jc w:val="both"/>
            </w:pPr>
            <w:r>
              <w:rPr>
                <w:sz w:val="18"/>
              </w:rPr>
              <w:t>66.253,30</w:t>
            </w:r>
          </w:p>
        </w:tc>
        <w:tc>
          <w:tcPr>
            <w:tcW w:w="700" w:type="dxa"/>
            <w:tcMar>
              <w:top w:w="0" w:type="dxa"/>
              <w:bottom w:w="0" w:type="dxa"/>
            </w:tcMar>
            <w:vAlign w:val="center"/>
          </w:tcPr>
          <w:p w14:paraId="2FC3F78B" w14:textId="77777777" w:rsidR="00C445AE" w:rsidRDefault="00000000" w:rsidP="00742AC7">
            <w:pPr>
              <w:keepNext/>
              <w:keepLines/>
              <w:spacing w:after="0" w:line="240" w:lineRule="auto"/>
              <w:jc w:val="both"/>
            </w:pPr>
            <w:r>
              <w:rPr>
                <w:sz w:val="18"/>
              </w:rPr>
              <w:t>157,6</w:t>
            </w:r>
          </w:p>
        </w:tc>
      </w:tr>
    </w:tbl>
    <w:p w14:paraId="6DDA947B" w14:textId="77777777" w:rsidR="00C445AE" w:rsidRDefault="00C445AE" w:rsidP="00742AC7">
      <w:pPr>
        <w:spacing w:after="0"/>
        <w:jc w:val="both"/>
      </w:pPr>
    </w:p>
    <w:p w14:paraId="757F1ECD" w14:textId="77777777" w:rsidR="00C445AE" w:rsidRDefault="00000000" w:rsidP="00742AC7">
      <w:pPr>
        <w:jc w:val="both"/>
      </w:pPr>
      <w:r>
        <w:t xml:space="preserve">Kapitalne pomoći kreditnim i ostalim financijskim institucijama te trgovačkim društvima u javnom sektoru (šifra 3861) ostvareni su u iznosu od  66.253,30 EUR odnosno sa 57,6% više u odnosu na prošlu godinu u istom izvještajnom razdoblju kad su ostvareni u iznosu od </w:t>
      </w:r>
      <w:r>
        <w:lastRenderedPageBreak/>
        <w:t>42.043,05 EUR.</w:t>
      </w:r>
      <w:r>
        <w:br/>
        <w:t xml:space="preserve">Razlog povećanju kapitalnih pomoći prema trgovačkim društvima je isplata prema Istarskim cestama d.d. za izgradnju prometnice </w:t>
      </w:r>
      <w:proofErr w:type="spellStart"/>
      <w:r>
        <w:t>Šurida</w:t>
      </w:r>
      <w:proofErr w:type="spellEnd"/>
      <w:r>
        <w:t xml:space="preserve"> u izvještajnom razdoblju.</w:t>
      </w:r>
      <w:r>
        <w:br/>
      </w:r>
    </w:p>
    <w:p w14:paraId="28CDA2DF" w14:textId="77777777" w:rsidR="00C445AE" w:rsidRDefault="00000000" w:rsidP="00742AC7">
      <w:pPr>
        <w:jc w:val="both"/>
      </w:pPr>
      <w:r>
        <w:t> </w:t>
      </w:r>
    </w:p>
    <w:p w14:paraId="73EE1D59" w14:textId="77777777" w:rsidR="00C445AE" w:rsidRDefault="00000000" w:rsidP="00742AC7">
      <w:pPr>
        <w:jc w:val="both"/>
      </w:pPr>
      <w:r>
        <w:br/>
      </w:r>
    </w:p>
    <w:p w14:paraId="10E8E575" w14:textId="77777777" w:rsidR="00C445AE" w:rsidRDefault="00C445AE" w:rsidP="00742AC7">
      <w:pPr>
        <w:jc w:val="both"/>
      </w:pPr>
    </w:p>
    <w:p w14:paraId="51B77260" w14:textId="77777777" w:rsidR="00C445AE" w:rsidRDefault="00000000" w:rsidP="00742AC7">
      <w:pPr>
        <w:keepNext/>
        <w:spacing w:line="240" w:lineRule="auto"/>
        <w:jc w:val="both"/>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758635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ABA18C"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613514"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403E031A"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609D72F"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290FEA3"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F85A7E0" w14:textId="77777777" w:rsidR="00C445AE" w:rsidRDefault="00000000" w:rsidP="00742AC7">
            <w:pPr>
              <w:keepNext/>
              <w:keepLines/>
              <w:spacing w:after="0" w:line="240" w:lineRule="auto"/>
              <w:jc w:val="both"/>
            </w:pPr>
            <w:r>
              <w:rPr>
                <w:b/>
                <w:sz w:val="18"/>
              </w:rPr>
              <w:t>Indeks (%)</w:t>
            </w:r>
          </w:p>
        </w:tc>
      </w:tr>
      <w:tr w:rsidR="00C445AE" w14:paraId="5639E8C2" w14:textId="77777777">
        <w:tblPrEx>
          <w:tblCellMar>
            <w:top w:w="0" w:type="dxa"/>
            <w:bottom w:w="0" w:type="dxa"/>
          </w:tblCellMar>
        </w:tblPrEx>
        <w:trPr>
          <w:cantSplit/>
          <w:trHeight w:val="560"/>
        </w:trPr>
        <w:tc>
          <w:tcPr>
            <w:tcW w:w="700" w:type="dxa"/>
            <w:tcMar>
              <w:top w:w="0" w:type="dxa"/>
              <w:bottom w:w="0" w:type="dxa"/>
            </w:tcMar>
            <w:vAlign w:val="center"/>
          </w:tcPr>
          <w:p w14:paraId="38BDB7B9" w14:textId="77777777" w:rsidR="00C445AE" w:rsidRDefault="00000000" w:rsidP="00742AC7">
            <w:pPr>
              <w:keepNext/>
              <w:keepLines/>
              <w:spacing w:after="0" w:line="240" w:lineRule="auto"/>
              <w:jc w:val="both"/>
            </w:pPr>
            <w:r>
              <w:rPr>
                <w:sz w:val="18"/>
              </w:rPr>
              <w:t>7</w:t>
            </w:r>
          </w:p>
        </w:tc>
        <w:tc>
          <w:tcPr>
            <w:tcW w:w="3180" w:type="dxa"/>
            <w:tcMar>
              <w:top w:w="0" w:type="dxa"/>
              <w:bottom w:w="0" w:type="dxa"/>
            </w:tcMar>
            <w:vAlign w:val="center"/>
          </w:tcPr>
          <w:p w14:paraId="613E158A" w14:textId="77777777" w:rsidR="00C445AE" w:rsidRDefault="00000000" w:rsidP="00742AC7">
            <w:pPr>
              <w:keepNext/>
              <w:keepLines/>
              <w:spacing w:after="0" w:line="240" w:lineRule="auto"/>
              <w:jc w:val="both"/>
            </w:pPr>
            <w:r>
              <w:rPr>
                <w:sz w:val="18"/>
              </w:rPr>
              <w:t>Prihodi od prodaje nefinancijske imovine (šifre 71+72+73+74)</w:t>
            </w:r>
          </w:p>
        </w:tc>
        <w:tc>
          <w:tcPr>
            <w:tcW w:w="700" w:type="dxa"/>
            <w:tcMar>
              <w:top w:w="0" w:type="dxa"/>
              <w:bottom w:w="0" w:type="dxa"/>
            </w:tcMar>
            <w:vAlign w:val="center"/>
          </w:tcPr>
          <w:p w14:paraId="25CD271A" w14:textId="77777777" w:rsidR="00C445AE" w:rsidRDefault="00000000" w:rsidP="00742AC7">
            <w:pPr>
              <w:keepNext/>
              <w:keepLines/>
              <w:spacing w:after="0" w:line="240" w:lineRule="auto"/>
              <w:jc w:val="both"/>
            </w:pPr>
            <w:r>
              <w:rPr>
                <w:sz w:val="18"/>
              </w:rPr>
              <w:t>7</w:t>
            </w:r>
          </w:p>
        </w:tc>
        <w:tc>
          <w:tcPr>
            <w:tcW w:w="1860" w:type="dxa"/>
            <w:tcMar>
              <w:top w:w="0" w:type="dxa"/>
              <w:bottom w:w="0" w:type="dxa"/>
            </w:tcMar>
            <w:vAlign w:val="center"/>
          </w:tcPr>
          <w:p w14:paraId="4A61CD5D" w14:textId="77777777" w:rsidR="00C445AE" w:rsidRDefault="00000000" w:rsidP="00742AC7">
            <w:pPr>
              <w:keepNext/>
              <w:keepLines/>
              <w:spacing w:after="0" w:line="240" w:lineRule="auto"/>
              <w:jc w:val="both"/>
            </w:pPr>
            <w:r>
              <w:rPr>
                <w:sz w:val="18"/>
              </w:rPr>
              <w:t>416,15</w:t>
            </w:r>
          </w:p>
        </w:tc>
        <w:tc>
          <w:tcPr>
            <w:tcW w:w="1860" w:type="dxa"/>
            <w:tcMar>
              <w:top w:w="0" w:type="dxa"/>
              <w:bottom w:w="0" w:type="dxa"/>
            </w:tcMar>
            <w:vAlign w:val="center"/>
          </w:tcPr>
          <w:p w14:paraId="2510361D" w14:textId="77777777" w:rsidR="00C445AE" w:rsidRDefault="00000000" w:rsidP="00742AC7">
            <w:pPr>
              <w:keepNext/>
              <w:keepLines/>
              <w:spacing w:after="0" w:line="240" w:lineRule="auto"/>
              <w:jc w:val="both"/>
            </w:pPr>
            <w:r>
              <w:rPr>
                <w:sz w:val="18"/>
              </w:rPr>
              <w:t>40.576,49</w:t>
            </w:r>
          </w:p>
        </w:tc>
        <w:tc>
          <w:tcPr>
            <w:tcW w:w="700" w:type="dxa"/>
            <w:tcMar>
              <w:top w:w="0" w:type="dxa"/>
              <w:bottom w:w="0" w:type="dxa"/>
            </w:tcMar>
            <w:vAlign w:val="center"/>
          </w:tcPr>
          <w:p w14:paraId="79F8BB64" w14:textId="77777777" w:rsidR="00C445AE" w:rsidRDefault="00000000" w:rsidP="00742AC7">
            <w:pPr>
              <w:keepNext/>
              <w:keepLines/>
              <w:spacing w:after="0" w:line="240" w:lineRule="auto"/>
              <w:jc w:val="both"/>
            </w:pPr>
            <w:r>
              <w:rPr>
                <w:sz w:val="18"/>
              </w:rPr>
              <w:t>9750,4</w:t>
            </w:r>
          </w:p>
        </w:tc>
      </w:tr>
    </w:tbl>
    <w:p w14:paraId="06A33704" w14:textId="77777777" w:rsidR="00C445AE" w:rsidRDefault="00C445AE" w:rsidP="00742AC7">
      <w:pPr>
        <w:spacing w:after="0"/>
        <w:jc w:val="both"/>
      </w:pPr>
    </w:p>
    <w:p w14:paraId="3E825471" w14:textId="77777777" w:rsidR="00C445AE" w:rsidRDefault="00000000" w:rsidP="00742AC7">
      <w:pPr>
        <w:jc w:val="both"/>
      </w:pPr>
      <w:r>
        <w:t>Prihodi od prodaje nefinancijske imovine (šifre 71+72+73+74) 7 ostvareni su u iznosu od 40.576,49 EUR odnosno sa 416,15 % u odnosu na prošlu godinu u istom izvještajnom razdoblju kad su ostvareni u iznosu od 9750,4 EUR.</w:t>
      </w:r>
      <w:r>
        <w:br/>
        <w:t>Prihodi su povećani iz razloga prodaje dvije manje parcele/zemljišta u vlasništvu općine Fažana.</w:t>
      </w:r>
    </w:p>
    <w:p w14:paraId="28EE5189" w14:textId="77777777" w:rsidR="00C445AE" w:rsidRDefault="00000000" w:rsidP="00742AC7">
      <w:pPr>
        <w:jc w:val="both"/>
      </w:pPr>
      <w:r>
        <w:br/>
      </w:r>
    </w:p>
    <w:p w14:paraId="59BAD07B" w14:textId="77777777" w:rsidR="00C445AE" w:rsidRDefault="00C445AE" w:rsidP="00742AC7">
      <w:pPr>
        <w:jc w:val="both"/>
      </w:pPr>
    </w:p>
    <w:p w14:paraId="6EDCE51C" w14:textId="77777777" w:rsidR="00C445AE" w:rsidRDefault="00000000" w:rsidP="00742AC7">
      <w:pPr>
        <w:keepNext/>
        <w:spacing w:line="240" w:lineRule="auto"/>
        <w:jc w:val="both"/>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19D455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4E48A0"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44F9DD"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2328805"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17992806"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69A11990"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645E89AB" w14:textId="77777777" w:rsidR="00C445AE" w:rsidRDefault="00000000" w:rsidP="00742AC7">
            <w:pPr>
              <w:keepNext/>
              <w:keepLines/>
              <w:spacing w:after="0" w:line="240" w:lineRule="auto"/>
              <w:jc w:val="both"/>
            </w:pPr>
            <w:r>
              <w:rPr>
                <w:b/>
                <w:sz w:val="18"/>
              </w:rPr>
              <w:t>Indeks (%)</w:t>
            </w:r>
          </w:p>
        </w:tc>
      </w:tr>
      <w:tr w:rsidR="00C445AE" w14:paraId="59C96E9C" w14:textId="77777777">
        <w:tblPrEx>
          <w:tblCellMar>
            <w:top w:w="0" w:type="dxa"/>
            <w:bottom w:w="0" w:type="dxa"/>
          </w:tblCellMar>
        </w:tblPrEx>
        <w:trPr>
          <w:cantSplit/>
          <w:trHeight w:val="560"/>
        </w:trPr>
        <w:tc>
          <w:tcPr>
            <w:tcW w:w="700" w:type="dxa"/>
            <w:tcMar>
              <w:top w:w="0" w:type="dxa"/>
              <w:bottom w:w="0" w:type="dxa"/>
            </w:tcMar>
            <w:vAlign w:val="center"/>
          </w:tcPr>
          <w:p w14:paraId="01E44DFD" w14:textId="77777777" w:rsidR="00C445AE" w:rsidRDefault="00000000" w:rsidP="00742AC7">
            <w:pPr>
              <w:keepNext/>
              <w:keepLines/>
              <w:spacing w:after="0" w:line="240" w:lineRule="auto"/>
              <w:jc w:val="both"/>
            </w:pPr>
            <w:r>
              <w:rPr>
                <w:sz w:val="18"/>
              </w:rPr>
              <w:t>71</w:t>
            </w:r>
          </w:p>
        </w:tc>
        <w:tc>
          <w:tcPr>
            <w:tcW w:w="3180" w:type="dxa"/>
            <w:tcMar>
              <w:top w:w="0" w:type="dxa"/>
              <w:bottom w:w="0" w:type="dxa"/>
            </w:tcMar>
            <w:vAlign w:val="center"/>
          </w:tcPr>
          <w:p w14:paraId="2E908501" w14:textId="77777777" w:rsidR="00C445AE" w:rsidRDefault="00000000" w:rsidP="00742AC7">
            <w:pPr>
              <w:keepNext/>
              <w:keepLines/>
              <w:spacing w:after="0" w:line="240" w:lineRule="auto"/>
              <w:jc w:val="both"/>
            </w:pPr>
            <w:r>
              <w:rPr>
                <w:sz w:val="18"/>
              </w:rPr>
              <w:t xml:space="preserve">Prihodi od prodaje </w:t>
            </w:r>
            <w:proofErr w:type="spellStart"/>
            <w:r>
              <w:rPr>
                <w:sz w:val="18"/>
              </w:rPr>
              <w:t>neproizvedene</w:t>
            </w:r>
            <w:proofErr w:type="spellEnd"/>
            <w:r>
              <w:rPr>
                <w:sz w:val="18"/>
              </w:rPr>
              <w:t xml:space="preserve"> dugotrajne imovine (šifre 711+712)</w:t>
            </w:r>
          </w:p>
        </w:tc>
        <w:tc>
          <w:tcPr>
            <w:tcW w:w="700" w:type="dxa"/>
            <w:tcMar>
              <w:top w:w="0" w:type="dxa"/>
              <w:bottom w:w="0" w:type="dxa"/>
            </w:tcMar>
            <w:vAlign w:val="center"/>
          </w:tcPr>
          <w:p w14:paraId="794B43A4" w14:textId="77777777" w:rsidR="00C445AE" w:rsidRDefault="00000000" w:rsidP="00742AC7">
            <w:pPr>
              <w:keepNext/>
              <w:keepLines/>
              <w:spacing w:after="0" w:line="240" w:lineRule="auto"/>
              <w:jc w:val="both"/>
            </w:pPr>
            <w:r>
              <w:rPr>
                <w:sz w:val="18"/>
              </w:rPr>
              <w:t>71</w:t>
            </w:r>
          </w:p>
        </w:tc>
        <w:tc>
          <w:tcPr>
            <w:tcW w:w="1860" w:type="dxa"/>
            <w:tcMar>
              <w:top w:w="0" w:type="dxa"/>
              <w:bottom w:w="0" w:type="dxa"/>
            </w:tcMar>
            <w:vAlign w:val="center"/>
          </w:tcPr>
          <w:p w14:paraId="576ED7F9" w14:textId="77777777" w:rsidR="00C445AE" w:rsidRDefault="00000000" w:rsidP="00742AC7">
            <w:pPr>
              <w:keepNext/>
              <w:keepLines/>
              <w:spacing w:after="0" w:line="240" w:lineRule="auto"/>
              <w:jc w:val="both"/>
            </w:pPr>
            <w:r>
              <w:rPr>
                <w:sz w:val="18"/>
              </w:rPr>
              <w:t>0,00</w:t>
            </w:r>
          </w:p>
        </w:tc>
        <w:tc>
          <w:tcPr>
            <w:tcW w:w="1860" w:type="dxa"/>
            <w:tcMar>
              <w:top w:w="0" w:type="dxa"/>
              <w:bottom w:w="0" w:type="dxa"/>
            </w:tcMar>
            <w:vAlign w:val="center"/>
          </w:tcPr>
          <w:p w14:paraId="52604CCA" w14:textId="77777777" w:rsidR="00C445AE" w:rsidRDefault="00000000" w:rsidP="00742AC7">
            <w:pPr>
              <w:keepNext/>
              <w:keepLines/>
              <w:spacing w:after="0" w:line="240" w:lineRule="auto"/>
              <w:jc w:val="both"/>
            </w:pPr>
            <w:r>
              <w:rPr>
                <w:sz w:val="18"/>
              </w:rPr>
              <w:t>40.400,69</w:t>
            </w:r>
          </w:p>
        </w:tc>
        <w:tc>
          <w:tcPr>
            <w:tcW w:w="700" w:type="dxa"/>
            <w:tcMar>
              <w:top w:w="0" w:type="dxa"/>
              <w:bottom w:w="0" w:type="dxa"/>
            </w:tcMar>
            <w:vAlign w:val="center"/>
          </w:tcPr>
          <w:p w14:paraId="536EB959" w14:textId="77777777" w:rsidR="00C445AE" w:rsidRDefault="00000000" w:rsidP="00742AC7">
            <w:pPr>
              <w:keepNext/>
              <w:keepLines/>
              <w:spacing w:after="0" w:line="240" w:lineRule="auto"/>
              <w:jc w:val="both"/>
            </w:pPr>
            <w:r>
              <w:rPr>
                <w:sz w:val="18"/>
              </w:rPr>
              <w:t>-</w:t>
            </w:r>
          </w:p>
        </w:tc>
      </w:tr>
    </w:tbl>
    <w:p w14:paraId="1FA54A5D" w14:textId="77777777" w:rsidR="00C445AE" w:rsidRDefault="00C445AE" w:rsidP="00742AC7">
      <w:pPr>
        <w:spacing w:after="0"/>
        <w:jc w:val="both"/>
      </w:pPr>
    </w:p>
    <w:p w14:paraId="232296A5" w14:textId="77777777" w:rsidR="00C445AE" w:rsidRDefault="00000000" w:rsidP="00742AC7">
      <w:pPr>
        <w:jc w:val="both"/>
      </w:pPr>
      <w:r>
        <w:t xml:space="preserve">Prihodi od prodaje </w:t>
      </w:r>
      <w:proofErr w:type="spellStart"/>
      <w:r>
        <w:t>neproizvedene</w:t>
      </w:r>
      <w:proofErr w:type="spellEnd"/>
      <w:r>
        <w:t xml:space="preserve"> dugotrajne imovine (šifre 711+712) 71ostvareni su u iznosu od 40.400,69 EUR odnosno sa 100% više u odnosu na prošlu godinu u istom izvještajnom razdoblju kad su ostvareni u iznosu od  0,00 EUR. Razlog povećanja je prodaja zemljišta.</w:t>
      </w:r>
    </w:p>
    <w:p w14:paraId="00FA0F03" w14:textId="77777777" w:rsidR="00C445AE" w:rsidRDefault="00000000" w:rsidP="00742AC7">
      <w:pPr>
        <w:jc w:val="both"/>
      </w:pPr>
      <w:r>
        <w:t> </w:t>
      </w:r>
    </w:p>
    <w:p w14:paraId="141E9C1E" w14:textId="77777777" w:rsidR="00C445AE" w:rsidRDefault="00000000" w:rsidP="00742AC7">
      <w:pPr>
        <w:jc w:val="both"/>
      </w:pPr>
      <w:r>
        <w:br/>
      </w:r>
    </w:p>
    <w:p w14:paraId="7557DCF3" w14:textId="77777777" w:rsidR="00C445AE" w:rsidRDefault="00000000" w:rsidP="00742AC7">
      <w:pPr>
        <w:jc w:val="both"/>
      </w:pPr>
      <w:r>
        <w:br/>
      </w:r>
    </w:p>
    <w:p w14:paraId="46C44881" w14:textId="77777777" w:rsidR="00C445AE" w:rsidRDefault="00000000" w:rsidP="00742AC7">
      <w:pPr>
        <w:jc w:val="both"/>
      </w:pPr>
      <w:r>
        <w:lastRenderedPageBreak/>
        <w:br/>
      </w:r>
    </w:p>
    <w:p w14:paraId="731E6696" w14:textId="77777777" w:rsidR="00C445AE" w:rsidRDefault="00C445AE" w:rsidP="00742AC7">
      <w:pPr>
        <w:jc w:val="both"/>
      </w:pPr>
    </w:p>
    <w:p w14:paraId="70526DA5" w14:textId="77777777" w:rsidR="00C445AE" w:rsidRDefault="00000000" w:rsidP="00742AC7">
      <w:pPr>
        <w:keepNext/>
        <w:spacing w:line="240" w:lineRule="auto"/>
        <w:jc w:val="both"/>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4FF1DC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45352D"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15B7EB"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3B3D9188"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404DC42"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09829F41"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3243AD4" w14:textId="77777777" w:rsidR="00C445AE" w:rsidRDefault="00000000" w:rsidP="00742AC7">
            <w:pPr>
              <w:keepNext/>
              <w:keepLines/>
              <w:spacing w:after="0" w:line="240" w:lineRule="auto"/>
              <w:jc w:val="both"/>
            </w:pPr>
            <w:r>
              <w:rPr>
                <w:b/>
                <w:sz w:val="18"/>
              </w:rPr>
              <w:t>Indeks (%)</w:t>
            </w:r>
          </w:p>
        </w:tc>
      </w:tr>
      <w:tr w:rsidR="00C445AE" w14:paraId="596AB8D8" w14:textId="77777777">
        <w:tblPrEx>
          <w:tblCellMar>
            <w:top w:w="0" w:type="dxa"/>
            <w:bottom w:w="0" w:type="dxa"/>
          </w:tblCellMar>
        </w:tblPrEx>
        <w:trPr>
          <w:cantSplit/>
          <w:trHeight w:val="560"/>
        </w:trPr>
        <w:tc>
          <w:tcPr>
            <w:tcW w:w="700" w:type="dxa"/>
            <w:tcMar>
              <w:top w:w="0" w:type="dxa"/>
              <w:bottom w:w="0" w:type="dxa"/>
            </w:tcMar>
            <w:vAlign w:val="center"/>
          </w:tcPr>
          <w:p w14:paraId="0CA0A818" w14:textId="77777777" w:rsidR="00C445AE" w:rsidRDefault="00000000" w:rsidP="00742AC7">
            <w:pPr>
              <w:keepNext/>
              <w:keepLines/>
              <w:spacing w:after="0" w:line="240" w:lineRule="auto"/>
              <w:jc w:val="both"/>
            </w:pPr>
            <w:r>
              <w:rPr>
                <w:sz w:val="18"/>
              </w:rPr>
              <w:t>4</w:t>
            </w:r>
          </w:p>
        </w:tc>
        <w:tc>
          <w:tcPr>
            <w:tcW w:w="3180" w:type="dxa"/>
            <w:tcMar>
              <w:top w:w="0" w:type="dxa"/>
              <w:bottom w:w="0" w:type="dxa"/>
            </w:tcMar>
            <w:vAlign w:val="center"/>
          </w:tcPr>
          <w:p w14:paraId="0A5D6A4D" w14:textId="77777777" w:rsidR="00C445AE" w:rsidRDefault="00000000" w:rsidP="00742AC7">
            <w:pPr>
              <w:keepNext/>
              <w:keepLines/>
              <w:spacing w:after="0" w:line="240" w:lineRule="auto"/>
              <w:jc w:val="both"/>
            </w:pPr>
            <w:r>
              <w:rPr>
                <w:sz w:val="18"/>
              </w:rPr>
              <w:t>Rashodi za nabavu nefinancijske imovine (šifre 41+42+43+44+45)</w:t>
            </w:r>
          </w:p>
        </w:tc>
        <w:tc>
          <w:tcPr>
            <w:tcW w:w="700" w:type="dxa"/>
            <w:tcMar>
              <w:top w:w="0" w:type="dxa"/>
              <w:bottom w:w="0" w:type="dxa"/>
            </w:tcMar>
            <w:vAlign w:val="center"/>
          </w:tcPr>
          <w:p w14:paraId="3CC3CDAF" w14:textId="77777777" w:rsidR="00C445AE" w:rsidRDefault="00000000" w:rsidP="00742AC7">
            <w:pPr>
              <w:keepNext/>
              <w:keepLines/>
              <w:spacing w:after="0" w:line="240" w:lineRule="auto"/>
              <w:jc w:val="both"/>
            </w:pPr>
            <w:r>
              <w:rPr>
                <w:sz w:val="18"/>
              </w:rPr>
              <w:t>4</w:t>
            </w:r>
          </w:p>
        </w:tc>
        <w:tc>
          <w:tcPr>
            <w:tcW w:w="1860" w:type="dxa"/>
            <w:tcMar>
              <w:top w:w="0" w:type="dxa"/>
              <w:bottom w:w="0" w:type="dxa"/>
            </w:tcMar>
            <w:vAlign w:val="center"/>
          </w:tcPr>
          <w:p w14:paraId="3EB697E1" w14:textId="77777777" w:rsidR="00C445AE" w:rsidRDefault="00000000" w:rsidP="00742AC7">
            <w:pPr>
              <w:keepNext/>
              <w:keepLines/>
              <w:spacing w:after="0" w:line="240" w:lineRule="auto"/>
              <w:jc w:val="both"/>
            </w:pPr>
            <w:r>
              <w:rPr>
                <w:sz w:val="18"/>
              </w:rPr>
              <w:t>2.556.656,32</w:t>
            </w:r>
          </w:p>
        </w:tc>
        <w:tc>
          <w:tcPr>
            <w:tcW w:w="1860" w:type="dxa"/>
            <w:tcMar>
              <w:top w:w="0" w:type="dxa"/>
              <w:bottom w:w="0" w:type="dxa"/>
            </w:tcMar>
            <w:vAlign w:val="center"/>
          </w:tcPr>
          <w:p w14:paraId="7DED5C64" w14:textId="77777777" w:rsidR="00C445AE" w:rsidRDefault="00000000" w:rsidP="00742AC7">
            <w:pPr>
              <w:keepNext/>
              <w:keepLines/>
              <w:spacing w:after="0" w:line="240" w:lineRule="auto"/>
              <w:jc w:val="both"/>
            </w:pPr>
            <w:r>
              <w:rPr>
                <w:sz w:val="18"/>
              </w:rPr>
              <w:t>239.509,90</w:t>
            </w:r>
          </w:p>
        </w:tc>
        <w:tc>
          <w:tcPr>
            <w:tcW w:w="700" w:type="dxa"/>
            <w:tcMar>
              <w:top w:w="0" w:type="dxa"/>
              <w:bottom w:w="0" w:type="dxa"/>
            </w:tcMar>
            <w:vAlign w:val="center"/>
          </w:tcPr>
          <w:p w14:paraId="15FE5760" w14:textId="77777777" w:rsidR="00C445AE" w:rsidRDefault="00000000" w:rsidP="00742AC7">
            <w:pPr>
              <w:keepNext/>
              <w:keepLines/>
              <w:spacing w:after="0" w:line="240" w:lineRule="auto"/>
              <w:jc w:val="both"/>
            </w:pPr>
            <w:r>
              <w:rPr>
                <w:sz w:val="18"/>
              </w:rPr>
              <w:t>9,4</w:t>
            </w:r>
          </w:p>
        </w:tc>
      </w:tr>
    </w:tbl>
    <w:p w14:paraId="6E420E6F" w14:textId="77777777" w:rsidR="00C445AE" w:rsidRDefault="00C445AE" w:rsidP="00742AC7">
      <w:pPr>
        <w:spacing w:after="0"/>
        <w:jc w:val="both"/>
      </w:pPr>
    </w:p>
    <w:p w14:paraId="77309B9A" w14:textId="77777777" w:rsidR="00C445AE" w:rsidRDefault="00000000" w:rsidP="00742AC7">
      <w:pPr>
        <w:jc w:val="both"/>
      </w:pPr>
      <w:r>
        <w:t>Rashodi za nabavu nefinancijske imovine (šifre 41+42+43+44+45) 4 ostvareni su u iznosu od 239.509,90 EUR odnosno sa 9,4% u odnosu na prošlu godinu u istom izvještajnom razdoblju kad su ostvareni u iznosu od  2.556.656,32 EUR.</w:t>
      </w:r>
    </w:p>
    <w:p w14:paraId="1ECE56B6" w14:textId="77777777" w:rsidR="00C445AE" w:rsidRDefault="00000000" w:rsidP="00742AC7">
      <w:pPr>
        <w:jc w:val="both"/>
      </w:pPr>
      <w:r>
        <w:t>Razlog znatno manjih rashoda za nabavu nefinancijske imovine jesu manje investicije i manje ulaganja u izvještajnom razdoblju, jer su značajniji projekti realizirani u 2025. godini.</w:t>
      </w:r>
    </w:p>
    <w:p w14:paraId="6CE15004" w14:textId="77777777" w:rsidR="00C445AE" w:rsidRDefault="00000000" w:rsidP="00742AC7">
      <w:pPr>
        <w:jc w:val="both"/>
      </w:pPr>
      <w:r>
        <w:br/>
      </w:r>
    </w:p>
    <w:p w14:paraId="1AC7A9BC" w14:textId="77777777" w:rsidR="00C445AE" w:rsidRDefault="00000000" w:rsidP="00742AC7">
      <w:pPr>
        <w:jc w:val="both"/>
      </w:pPr>
      <w:r>
        <w:br/>
      </w:r>
    </w:p>
    <w:p w14:paraId="78C74392" w14:textId="77777777" w:rsidR="00C445AE" w:rsidRDefault="00C445AE" w:rsidP="00742AC7">
      <w:pPr>
        <w:jc w:val="both"/>
      </w:pPr>
    </w:p>
    <w:p w14:paraId="0F7833AD" w14:textId="77777777" w:rsidR="00C445AE" w:rsidRDefault="00000000" w:rsidP="00742AC7">
      <w:pPr>
        <w:keepNext/>
        <w:spacing w:line="240" w:lineRule="auto"/>
        <w:jc w:val="both"/>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589538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631C3D"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23EFFF7"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65EE7C39"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09207A37"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3DFD4BD9"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3953A2B1" w14:textId="77777777" w:rsidR="00C445AE" w:rsidRDefault="00000000" w:rsidP="00742AC7">
            <w:pPr>
              <w:keepNext/>
              <w:keepLines/>
              <w:spacing w:after="0" w:line="240" w:lineRule="auto"/>
              <w:jc w:val="both"/>
            </w:pPr>
            <w:r>
              <w:rPr>
                <w:b/>
                <w:sz w:val="18"/>
              </w:rPr>
              <w:t>Indeks (%)</w:t>
            </w:r>
          </w:p>
        </w:tc>
      </w:tr>
      <w:tr w:rsidR="00C445AE" w14:paraId="70F3DD33" w14:textId="77777777">
        <w:tblPrEx>
          <w:tblCellMar>
            <w:top w:w="0" w:type="dxa"/>
            <w:bottom w:w="0" w:type="dxa"/>
          </w:tblCellMar>
        </w:tblPrEx>
        <w:trPr>
          <w:cantSplit/>
          <w:trHeight w:val="560"/>
        </w:trPr>
        <w:tc>
          <w:tcPr>
            <w:tcW w:w="700" w:type="dxa"/>
            <w:tcMar>
              <w:top w:w="0" w:type="dxa"/>
              <w:bottom w:w="0" w:type="dxa"/>
            </w:tcMar>
            <w:vAlign w:val="center"/>
          </w:tcPr>
          <w:p w14:paraId="6FA50B98" w14:textId="77777777" w:rsidR="00C445AE" w:rsidRDefault="00000000" w:rsidP="00742AC7">
            <w:pPr>
              <w:keepNext/>
              <w:keepLines/>
              <w:spacing w:after="0" w:line="240" w:lineRule="auto"/>
              <w:jc w:val="both"/>
            </w:pPr>
            <w:r>
              <w:rPr>
                <w:sz w:val="18"/>
              </w:rPr>
              <w:t>41</w:t>
            </w:r>
          </w:p>
        </w:tc>
        <w:tc>
          <w:tcPr>
            <w:tcW w:w="3180" w:type="dxa"/>
            <w:tcMar>
              <w:top w:w="0" w:type="dxa"/>
              <w:bottom w:w="0" w:type="dxa"/>
            </w:tcMar>
            <w:vAlign w:val="center"/>
          </w:tcPr>
          <w:p w14:paraId="29BAAD8C" w14:textId="77777777" w:rsidR="00C445AE" w:rsidRDefault="00000000" w:rsidP="00742AC7">
            <w:pPr>
              <w:keepNext/>
              <w:keepLines/>
              <w:spacing w:after="0" w:line="240" w:lineRule="auto"/>
              <w:jc w:val="both"/>
            </w:pPr>
            <w:r>
              <w:rPr>
                <w:sz w:val="18"/>
              </w:rPr>
              <w:t xml:space="preserve">Rashodi za nabavu </w:t>
            </w:r>
            <w:proofErr w:type="spellStart"/>
            <w:r>
              <w:rPr>
                <w:sz w:val="18"/>
              </w:rPr>
              <w:t>neproizvedene</w:t>
            </w:r>
            <w:proofErr w:type="spellEnd"/>
            <w:r>
              <w:rPr>
                <w:sz w:val="18"/>
              </w:rPr>
              <w:t xml:space="preserve"> dugotrajne imovine (šifre 411+412)</w:t>
            </w:r>
          </w:p>
        </w:tc>
        <w:tc>
          <w:tcPr>
            <w:tcW w:w="700" w:type="dxa"/>
            <w:tcMar>
              <w:top w:w="0" w:type="dxa"/>
              <w:bottom w:w="0" w:type="dxa"/>
            </w:tcMar>
            <w:vAlign w:val="center"/>
          </w:tcPr>
          <w:p w14:paraId="79A099EA" w14:textId="77777777" w:rsidR="00C445AE" w:rsidRDefault="00000000" w:rsidP="00742AC7">
            <w:pPr>
              <w:keepNext/>
              <w:keepLines/>
              <w:spacing w:after="0" w:line="240" w:lineRule="auto"/>
              <w:jc w:val="both"/>
            </w:pPr>
            <w:r>
              <w:rPr>
                <w:sz w:val="18"/>
              </w:rPr>
              <w:t>41</w:t>
            </w:r>
          </w:p>
        </w:tc>
        <w:tc>
          <w:tcPr>
            <w:tcW w:w="1860" w:type="dxa"/>
            <w:tcMar>
              <w:top w:w="0" w:type="dxa"/>
              <w:bottom w:w="0" w:type="dxa"/>
            </w:tcMar>
            <w:vAlign w:val="center"/>
          </w:tcPr>
          <w:p w14:paraId="213D9FD8" w14:textId="77777777" w:rsidR="00C445AE" w:rsidRDefault="00000000" w:rsidP="00742AC7">
            <w:pPr>
              <w:keepNext/>
              <w:keepLines/>
              <w:spacing w:after="0" w:line="240" w:lineRule="auto"/>
              <w:jc w:val="both"/>
            </w:pPr>
            <w:r>
              <w:rPr>
                <w:sz w:val="18"/>
              </w:rPr>
              <w:t>1.250,00</w:t>
            </w:r>
          </w:p>
        </w:tc>
        <w:tc>
          <w:tcPr>
            <w:tcW w:w="1860" w:type="dxa"/>
            <w:tcMar>
              <w:top w:w="0" w:type="dxa"/>
              <w:bottom w:w="0" w:type="dxa"/>
            </w:tcMar>
            <w:vAlign w:val="center"/>
          </w:tcPr>
          <w:p w14:paraId="5429E26E" w14:textId="77777777" w:rsidR="00C445AE" w:rsidRDefault="00000000" w:rsidP="00742AC7">
            <w:pPr>
              <w:keepNext/>
              <w:keepLines/>
              <w:spacing w:after="0" w:line="240" w:lineRule="auto"/>
              <w:jc w:val="both"/>
            </w:pPr>
            <w:r>
              <w:rPr>
                <w:sz w:val="18"/>
              </w:rPr>
              <w:t>45.046,79</w:t>
            </w:r>
          </w:p>
        </w:tc>
        <w:tc>
          <w:tcPr>
            <w:tcW w:w="700" w:type="dxa"/>
            <w:tcMar>
              <w:top w:w="0" w:type="dxa"/>
              <w:bottom w:w="0" w:type="dxa"/>
            </w:tcMar>
            <w:vAlign w:val="center"/>
          </w:tcPr>
          <w:p w14:paraId="65E0824E" w14:textId="77777777" w:rsidR="00C445AE" w:rsidRDefault="00000000" w:rsidP="00742AC7">
            <w:pPr>
              <w:keepNext/>
              <w:keepLines/>
              <w:spacing w:after="0" w:line="240" w:lineRule="auto"/>
              <w:jc w:val="both"/>
            </w:pPr>
            <w:r>
              <w:rPr>
                <w:sz w:val="18"/>
              </w:rPr>
              <w:t>3603,7</w:t>
            </w:r>
          </w:p>
        </w:tc>
      </w:tr>
    </w:tbl>
    <w:p w14:paraId="5679D8D3" w14:textId="77777777" w:rsidR="00C445AE" w:rsidRDefault="00C445AE" w:rsidP="00742AC7">
      <w:pPr>
        <w:spacing w:after="0"/>
        <w:jc w:val="both"/>
      </w:pPr>
    </w:p>
    <w:p w14:paraId="1B7FF4B1" w14:textId="77777777" w:rsidR="00C445AE" w:rsidRDefault="00000000" w:rsidP="00742AC7">
      <w:pPr>
        <w:jc w:val="both"/>
      </w:pPr>
      <w:r>
        <w:t xml:space="preserve">Rashodi za nabavu </w:t>
      </w:r>
      <w:proofErr w:type="spellStart"/>
      <w:r>
        <w:t>neproizvedene</w:t>
      </w:r>
      <w:proofErr w:type="spellEnd"/>
      <w:r>
        <w:t xml:space="preserve"> dugotrajne imovine (šifre 411+412) 41ostvareni su u iznosu od  45.046,79 EUR odnosno sa 3603,7% u odnosu na prošlu godinu u istom izvještajnom razdoblju kad su ostvareni u iznosu od  1.250,00 EUR.</w:t>
      </w:r>
      <w:r>
        <w:br/>
      </w:r>
      <w:r>
        <w:br/>
      </w:r>
    </w:p>
    <w:p w14:paraId="16DADC35" w14:textId="77777777" w:rsidR="00C445AE" w:rsidRDefault="00000000" w:rsidP="00742AC7">
      <w:pPr>
        <w:jc w:val="both"/>
      </w:pPr>
      <w:r>
        <w:br/>
      </w:r>
    </w:p>
    <w:p w14:paraId="653E8FAE" w14:textId="77777777" w:rsidR="00C445AE" w:rsidRDefault="00C445AE" w:rsidP="00742AC7">
      <w:pPr>
        <w:jc w:val="both"/>
      </w:pPr>
    </w:p>
    <w:p w14:paraId="2C1AE96B" w14:textId="77777777" w:rsidR="00C445AE" w:rsidRDefault="00000000" w:rsidP="00742AC7">
      <w:pPr>
        <w:keepNext/>
        <w:spacing w:line="240" w:lineRule="auto"/>
        <w:jc w:val="both"/>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0572E0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79743B"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6CC46B"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14B7ED34"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6F139D6F"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5E8B9858"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2C604CE6" w14:textId="77777777" w:rsidR="00C445AE" w:rsidRDefault="00000000" w:rsidP="00742AC7">
            <w:pPr>
              <w:keepNext/>
              <w:keepLines/>
              <w:spacing w:after="0" w:line="240" w:lineRule="auto"/>
              <w:jc w:val="both"/>
            </w:pPr>
            <w:r>
              <w:rPr>
                <w:b/>
                <w:sz w:val="18"/>
              </w:rPr>
              <w:t>Indeks (%)</w:t>
            </w:r>
          </w:p>
        </w:tc>
      </w:tr>
      <w:tr w:rsidR="00C445AE" w14:paraId="72537D78" w14:textId="77777777">
        <w:tblPrEx>
          <w:tblCellMar>
            <w:top w:w="0" w:type="dxa"/>
            <w:bottom w:w="0" w:type="dxa"/>
          </w:tblCellMar>
        </w:tblPrEx>
        <w:trPr>
          <w:cantSplit/>
          <w:trHeight w:val="560"/>
        </w:trPr>
        <w:tc>
          <w:tcPr>
            <w:tcW w:w="700" w:type="dxa"/>
            <w:tcMar>
              <w:top w:w="0" w:type="dxa"/>
              <w:bottom w:w="0" w:type="dxa"/>
            </w:tcMar>
            <w:vAlign w:val="center"/>
          </w:tcPr>
          <w:p w14:paraId="23244339" w14:textId="77777777" w:rsidR="00C445AE" w:rsidRDefault="00000000" w:rsidP="00742AC7">
            <w:pPr>
              <w:keepNext/>
              <w:keepLines/>
              <w:spacing w:after="0" w:line="240" w:lineRule="auto"/>
              <w:jc w:val="both"/>
            </w:pPr>
            <w:r>
              <w:rPr>
                <w:sz w:val="18"/>
              </w:rPr>
              <w:t>412</w:t>
            </w:r>
          </w:p>
        </w:tc>
        <w:tc>
          <w:tcPr>
            <w:tcW w:w="3180" w:type="dxa"/>
            <w:tcMar>
              <w:top w:w="0" w:type="dxa"/>
              <w:bottom w:w="0" w:type="dxa"/>
            </w:tcMar>
            <w:vAlign w:val="center"/>
          </w:tcPr>
          <w:p w14:paraId="41339AA7" w14:textId="77777777" w:rsidR="00C445AE" w:rsidRDefault="00000000" w:rsidP="00742AC7">
            <w:pPr>
              <w:keepNext/>
              <w:keepLines/>
              <w:spacing w:after="0" w:line="240" w:lineRule="auto"/>
              <w:jc w:val="both"/>
            </w:pPr>
            <w:r>
              <w:rPr>
                <w:sz w:val="18"/>
              </w:rPr>
              <w:t>Nematerijalna imovina (šifre 4121 do 4126)</w:t>
            </w:r>
          </w:p>
        </w:tc>
        <w:tc>
          <w:tcPr>
            <w:tcW w:w="700" w:type="dxa"/>
            <w:tcMar>
              <w:top w:w="0" w:type="dxa"/>
              <w:bottom w:w="0" w:type="dxa"/>
            </w:tcMar>
            <w:vAlign w:val="center"/>
          </w:tcPr>
          <w:p w14:paraId="73C0D44D" w14:textId="77777777" w:rsidR="00C445AE" w:rsidRDefault="00000000" w:rsidP="00742AC7">
            <w:pPr>
              <w:keepNext/>
              <w:keepLines/>
              <w:spacing w:after="0" w:line="240" w:lineRule="auto"/>
              <w:jc w:val="both"/>
            </w:pPr>
            <w:r>
              <w:rPr>
                <w:sz w:val="18"/>
              </w:rPr>
              <w:t>412</w:t>
            </w:r>
          </w:p>
        </w:tc>
        <w:tc>
          <w:tcPr>
            <w:tcW w:w="1860" w:type="dxa"/>
            <w:tcMar>
              <w:top w:w="0" w:type="dxa"/>
              <w:bottom w:w="0" w:type="dxa"/>
            </w:tcMar>
            <w:vAlign w:val="center"/>
          </w:tcPr>
          <w:p w14:paraId="479D93CB" w14:textId="77777777" w:rsidR="00C445AE" w:rsidRDefault="00000000" w:rsidP="00742AC7">
            <w:pPr>
              <w:keepNext/>
              <w:keepLines/>
              <w:spacing w:after="0" w:line="240" w:lineRule="auto"/>
              <w:jc w:val="both"/>
            </w:pPr>
            <w:r>
              <w:rPr>
                <w:sz w:val="18"/>
              </w:rPr>
              <w:t>1.250,00</w:t>
            </w:r>
          </w:p>
        </w:tc>
        <w:tc>
          <w:tcPr>
            <w:tcW w:w="1860" w:type="dxa"/>
            <w:tcMar>
              <w:top w:w="0" w:type="dxa"/>
              <w:bottom w:w="0" w:type="dxa"/>
            </w:tcMar>
            <w:vAlign w:val="center"/>
          </w:tcPr>
          <w:p w14:paraId="033BBC79" w14:textId="77777777" w:rsidR="00C445AE" w:rsidRDefault="00000000" w:rsidP="00742AC7">
            <w:pPr>
              <w:keepNext/>
              <w:keepLines/>
              <w:spacing w:after="0" w:line="240" w:lineRule="auto"/>
              <w:jc w:val="both"/>
            </w:pPr>
            <w:r>
              <w:rPr>
                <w:sz w:val="18"/>
              </w:rPr>
              <w:t>45.046,79</w:t>
            </w:r>
          </w:p>
        </w:tc>
        <w:tc>
          <w:tcPr>
            <w:tcW w:w="700" w:type="dxa"/>
            <w:tcMar>
              <w:top w:w="0" w:type="dxa"/>
              <w:bottom w:w="0" w:type="dxa"/>
            </w:tcMar>
            <w:vAlign w:val="center"/>
          </w:tcPr>
          <w:p w14:paraId="25BA2CC0" w14:textId="77777777" w:rsidR="00C445AE" w:rsidRDefault="00000000" w:rsidP="00742AC7">
            <w:pPr>
              <w:keepNext/>
              <w:keepLines/>
              <w:spacing w:after="0" w:line="240" w:lineRule="auto"/>
              <w:jc w:val="both"/>
            </w:pPr>
            <w:r>
              <w:rPr>
                <w:sz w:val="18"/>
              </w:rPr>
              <w:t>3603,7</w:t>
            </w:r>
          </w:p>
        </w:tc>
      </w:tr>
    </w:tbl>
    <w:p w14:paraId="08014C86" w14:textId="77777777" w:rsidR="00C445AE" w:rsidRDefault="00C445AE" w:rsidP="00742AC7">
      <w:pPr>
        <w:spacing w:after="0"/>
        <w:jc w:val="both"/>
      </w:pPr>
    </w:p>
    <w:p w14:paraId="34E161C2" w14:textId="77777777" w:rsidR="00C445AE" w:rsidRDefault="00000000" w:rsidP="00742AC7">
      <w:pPr>
        <w:jc w:val="both"/>
      </w:pPr>
      <w:r>
        <w:t xml:space="preserve">Rashodi za nabavu </w:t>
      </w:r>
      <w:proofErr w:type="spellStart"/>
      <w:r>
        <w:t>neproizvedene</w:t>
      </w:r>
      <w:proofErr w:type="spellEnd"/>
      <w:r>
        <w:t xml:space="preserve"> dugotrajne imovine (šifre 412) ostvareni su u iznosu od  45.046,79 EUR odnosno sa 3603,7% u odnosu na prošlu godinu u istom izvještajnom razdoblju kad su ostvareni u iznosu od 1.250,00 EUR.</w:t>
      </w:r>
    </w:p>
    <w:p w14:paraId="45702857" w14:textId="77777777" w:rsidR="00C445AE" w:rsidRDefault="00000000" w:rsidP="00742AC7">
      <w:pPr>
        <w:jc w:val="both"/>
      </w:pPr>
      <w:r>
        <w:t>Razlog povećanju ovih rashoda jesu izrada projekta krajobrazne arhitekture za razvoj zelene infrastrukture i sanacija plaže na području općine Fažana, kojih nije bilo u istom razdoblju 2025. godine.</w:t>
      </w:r>
    </w:p>
    <w:p w14:paraId="7AC87BC7" w14:textId="77777777" w:rsidR="00C445AE" w:rsidRDefault="00C445AE" w:rsidP="00742AC7">
      <w:pPr>
        <w:jc w:val="both"/>
      </w:pPr>
    </w:p>
    <w:p w14:paraId="784169E4" w14:textId="77777777" w:rsidR="00C445AE" w:rsidRDefault="00000000" w:rsidP="00742AC7">
      <w:pPr>
        <w:keepNext/>
        <w:spacing w:line="240" w:lineRule="auto"/>
        <w:jc w:val="both"/>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53AC37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883F8D"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FAB11C"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7D692B14"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46A69489"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7F9D2681"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4ADB21CB" w14:textId="77777777" w:rsidR="00C445AE" w:rsidRDefault="00000000" w:rsidP="00742AC7">
            <w:pPr>
              <w:keepNext/>
              <w:keepLines/>
              <w:spacing w:after="0" w:line="240" w:lineRule="auto"/>
              <w:jc w:val="both"/>
            </w:pPr>
            <w:r>
              <w:rPr>
                <w:b/>
                <w:sz w:val="18"/>
              </w:rPr>
              <w:t>Indeks (%)</w:t>
            </w:r>
          </w:p>
        </w:tc>
      </w:tr>
      <w:tr w:rsidR="00C445AE" w14:paraId="2109ED7C" w14:textId="77777777">
        <w:tblPrEx>
          <w:tblCellMar>
            <w:top w:w="0" w:type="dxa"/>
            <w:bottom w:w="0" w:type="dxa"/>
          </w:tblCellMar>
        </w:tblPrEx>
        <w:trPr>
          <w:cantSplit/>
          <w:trHeight w:val="560"/>
        </w:trPr>
        <w:tc>
          <w:tcPr>
            <w:tcW w:w="700" w:type="dxa"/>
            <w:tcMar>
              <w:top w:w="0" w:type="dxa"/>
              <w:bottom w:w="0" w:type="dxa"/>
            </w:tcMar>
            <w:vAlign w:val="center"/>
          </w:tcPr>
          <w:p w14:paraId="10CE59D3" w14:textId="77777777" w:rsidR="00C445AE" w:rsidRDefault="00000000" w:rsidP="00742AC7">
            <w:pPr>
              <w:keepNext/>
              <w:keepLines/>
              <w:spacing w:after="0" w:line="240" w:lineRule="auto"/>
              <w:jc w:val="both"/>
            </w:pPr>
            <w:r>
              <w:rPr>
                <w:sz w:val="18"/>
              </w:rPr>
              <w:t>4124</w:t>
            </w:r>
          </w:p>
        </w:tc>
        <w:tc>
          <w:tcPr>
            <w:tcW w:w="3180" w:type="dxa"/>
            <w:tcMar>
              <w:top w:w="0" w:type="dxa"/>
              <w:bottom w:w="0" w:type="dxa"/>
            </w:tcMar>
            <w:vAlign w:val="center"/>
          </w:tcPr>
          <w:p w14:paraId="5758B344" w14:textId="77777777" w:rsidR="00C445AE" w:rsidRDefault="00000000" w:rsidP="00742AC7">
            <w:pPr>
              <w:keepNext/>
              <w:keepLines/>
              <w:spacing w:after="0" w:line="240" w:lineRule="auto"/>
              <w:jc w:val="both"/>
            </w:pPr>
            <w:r>
              <w:rPr>
                <w:sz w:val="18"/>
              </w:rPr>
              <w:t>Ostala prava</w:t>
            </w:r>
          </w:p>
        </w:tc>
        <w:tc>
          <w:tcPr>
            <w:tcW w:w="700" w:type="dxa"/>
            <w:tcMar>
              <w:top w:w="0" w:type="dxa"/>
              <w:bottom w:w="0" w:type="dxa"/>
            </w:tcMar>
            <w:vAlign w:val="center"/>
          </w:tcPr>
          <w:p w14:paraId="00E219B7" w14:textId="77777777" w:rsidR="00C445AE" w:rsidRDefault="00000000" w:rsidP="00742AC7">
            <w:pPr>
              <w:keepNext/>
              <w:keepLines/>
              <w:spacing w:after="0" w:line="240" w:lineRule="auto"/>
              <w:jc w:val="both"/>
            </w:pPr>
            <w:r>
              <w:rPr>
                <w:sz w:val="18"/>
              </w:rPr>
              <w:t>4124</w:t>
            </w:r>
          </w:p>
        </w:tc>
        <w:tc>
          <w:tcPr>
            <w:tcW w:w="1860" w:type="dxa"/>
            <w:tcMar>
              <w:top w:w="0" w:type="dxa"/>
              <w:bottom w:w="0" w:type="dxa"/>
            </w:tcMar>
            <w:vAlign w:val="center"/>
          </w:tcPr>
          <w:p w14:paraId="7D012511" w14:textId="77777777" w:rsidR="00C445AE" w:rsidRDefault="00000000" w:rsidP="00742AC7">
            <w:pPr>
              <w:keepNext/>
              <w:keepLines/>
              <w:spacing w:after="0" w:line="240" w:lineRule="auto"/>
              <w:jc w:val="both"/>
            </w:pPr>
            <w:r>
              <w:rPr>
                <w:sz w:val="18"/>
              </w:rPr>
              <w:t>1.250,00</w:t>
            </w:r>
          </w:p>
        </w:tc>
        <w:tc>
          <w:tcPr>
            <w:tcW w:w="1860" w:type="dxa"/>
            <w:tcMar>
              <w:top w:w="0" w:type="dxa"/>
              <w:bottom w:w="0" w:type="dxa"/>
            </w:tcMar>
            <w:vAlign w:val="center"/>
          </w:tcPr>
          <w:p w14:paraId="2FF80818" w14:textId="77777777" w:rsidR="00C445AE" w:rsidRDefault="00000000" w:rsidP="00742AC7">
            <w:pPr>
              <w:keepNext/>
              <w:keepLines/>
              <w:spacing w:after="0" w:line="240" w:lineRule="auto"/>
              <w:jc w:val="both"/>
            </w:pPr>
            <w:r>
              <w:rPr>
                <w:sz w:val="18"/>
              </w:rPr>
              <w:t>22.125,00</w:t>
            </w:r>
          </w:p>
        </w:tc>
        <w:tc>
          <w:tcPr>
            <w:tcW w:w="700" w:type="dxa"/>
            <w:tcMar>
              <w:top w:w="0" w:type="dxa"/>
              <w:bottom w:w="0" w:type="dxa"/>
            </w:tcMar>
            <w:vAlign w:val="center"/>
          </w:tcPr>
          <w:p w14:paraId="595B5CF4" w14:textId="77777777" w:rsidR="00C445AE" w:rsidRDefault="00000000" w:rsidP="00742AC7">
            <w:pPr>
              <w:keepNext/>
              <w:keepLines/>
              <w:spacing w:after="0" w:line="240" w:lineRule="auto"/>
              <w:jc w:val="both"/>
            </w:pPr>
            <w:r>
              <w:rPr>
                <w:sz w:val="18"/>
              </w:rPr>
              <w:t>1770,0</w:t>
            </w:r>
          </w:p>
        </w:tc>
      </w:tr>
    </w:tbl>
    <w:p w14:paraId="14E876A8" w14:textId="77777777" w:rsidR="00C445AE" w:rsidRDefault="00C445AE" w:rsidP="00742AC7">
      <w:pPr>
        <w:spacing w:after="0"/>
        <w:jc w:val="both"/>
      </w:pPr>
    </w:p>
    <w:p w14:paraId="351CBEE2" w14:textId="77777777" w:rsidR="00C445AE" w:rsidRDefault="00000000" w:rsidP="00742AC7">
      <w:pPr>
        <w:jc w:val="both"/>
      </w:pPr>
      <w:r>
        <w:t>Ostala prava (šifra 4124) ostvareni su u iznosu od 22.125,00 EUR odnosno sa 1770% u odnosu na prošlu godinu u istom izvještajnom razdoblju kad su ostvareni u iznosu od 1.250,00 EUR. Gore pojašnjeno.</w:t>
      </w:r>
      <w:r>
        <w:br/>
      </w:r>
      <w:r>
        <w:br/>
      </w:r>
    </w:p>
    <w:p w14:paraId="2AD3B241" w14:textId="77777777" w:rsidR="00C445AE" w:rsidRDefault="00000000" w:rsidP="00742AC7">
      <w:pPr>
        <w:jc w:val="both"/>
      </w:pPr>
      <w:r>
        <w:br/>
      </w:r>
    </w:p>
    <w:p w14:paraId="166A2C66" w14:textId="77777777" w:rsidR="00C445AE" w:rsidRDefault="00C445AE" w:rsidP="00742AC7">
      <w:pPr>
        <w:jc w:val="both"/>
      </w:pPr>
    </w:p>
    <w:p w14:paraId="02361528" w14:textId="77777777" w:rsidR="00C445AE" w:rsidRDefault="00000000" w:rsidP="00742AC7">
      <w:pPr>
        <w:keepNext/>
        <w:spacing w:line="240" w:lineRule="auto"/>
        <w:jc w:val="both"/>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3055D7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D659AC"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3B19E5"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2F5D1AB8"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1D6C4FC"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74FBD9B"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5929B6C7" w14:textId="77777777" w:rsidR="00C445AE" w:rsidRDefault="00000000" w:rsidP="00742AC7">
            <w:pPr>
              <w:keepNext/>
              <w:keepLines/>
              <w:spacing w:after="0" w:line="240" w:lineRule="auto"/>
              <w:jc w:val="both"/>
            </w:pPr>
            <w:r>
              <w:rPr>
                <w:b/>
                <w:sz w:val="18"/>
              </w:rPr>
              <w:t>Indeks (%)</w:t>
            </w:r>
          </w:p>
        </w:tc>
      </w:tr>
      <w:tr w:rsidR="00C445AE" w14:paraId="7E407C94" w14:textId="77777777">
        <w:tblPrEx>
          <w:tblCellMar>
            <w:top w:w="0" w:type="dxa"/>
            <w:bottom w:w="0" w:type="dxa"/>
          </w:tblCellMar>
        </w:tblPrEx>
        <w:trPr>
          <w:cantSplit/>
          <w:trHeight w:val="560"/>
        </w:trPr>
        <w:tc>
          <w:tcPr>
            <w:tcW w:w="700" w:type="dxa"/>
            <w:tcMar>
              <w:top w:w="0" w:type="dxa"/>
              <w:bottom w:w="0" w:type="dxa"/>
            </w:tcMar>
            <w:vAlign w:val="center"/>
          </w:tcPr>
          <w:p w14:paraId="6837F500" w14:textId="77777777" w:rsidR="00C445AE" w:rsidRDefault="00000000" w:rsidP="00742AC7">
            <w:pPr>
              <w:keepNext/>
              <w:keepLines/>
              <w:spacing w:after="0" w:line="240" w:lineRule="auto"/>
              <w:jc w:val="both"/>
            </w:pPr>
            <w:r>
              <w:rPr>
                <w:sz w:val="18"/>
              </w:rPr>
              <w:t>11</w:t>
            </w:r>
          </w:p>
        </w:tc>
        <w:tc>
          <w:tcPr>
            <w:tcW w:w="3180" w:type="dxa"/>
            <w:tcMar>
              <w:top w:w="0" w:type="dxa"/>
              <w:bottom w:w="0" w:type="dxa"/>
            </w:tcMar>
            <w:vAlign w:val="center"/>
          </w:tcPr>
          <w:p w14:paraId="45BEFC1B" w14:textId="77777777" w:rsidR="00C445AE" w:rsidRDefault="00000000" w:rsidP="00742AC7">
            <w:pPr>
              <w:keepNext/>
              <w:keepLines/>
              <w:spacing w:after="0" w:line="240" w:lineRule="auto"/>
              <w:jc w:val="both"/>
            </w:pPr>
            <w:r>
              <w:rPr>
                <w:sz w:val="18"/>
              </w:rPr>
              <w:t>Stanje novčanih sredstava na kraju izvještajnog razdoblja (šifre 11P + '11-dugov.' - '11-potraž.')</w:t>
            </w:r>
          </w:p>
        </w:tc>
        <w:tc>
          <w:tcPr>
            <w:tcW w:w="700" w:type="dxa"/>
            <w:tcMar>
              <w:top w:w="0" w:type="dxa"/>
              <w:bottom w:w="0" w:type="dxa"/>
            </w:tcMar>
            <w:vAlign w:val="center"/>
          </w:tcPr>
          <w:p w14:paraId="4ADA825B" w14:textId="77777777" w:rsidR="00C445AE" w:rsidRDefault="00000000" w:rsidP="00742AC7">
            <w:pPr>
              <w:keepNext/>
              <w:keepLines/>
              <w:spacing w:after="0" w:line="240" w:lineRule="auto"/>
              <w:jc w:val="both"/>
            </w:pPr>
            <w:r>
              <w:rPr>
                <w:sz w:val="18"/>
              </w:rPr>
              <w:t>11K</w:t>
            </w:r>
          </w:p>
        </w:tc>
        <w:tc>
          <w:tcPr>
            <w:tcW w:w="1860" w:type="dxa"/>
            <w:tcMar>
              <w:top w:w="0" w:type="dxa"/>
              <w:bottom w:w="0" w:type="dxa"/>
            </w:tcMar>
            <w:vAlign w:val="center"/>
          </w:tcPr>
          <w:p w14:paraId="3BC7C223" w14:textId="77777777" w:rsidR="00C445AE" w:rsidRDefault="00000000" w:rsidP="00742AC7">
            <w:pPr>
              <w:keepNext/>
              <w:keepLines/>
              <w:spacing w:after="0" w:line="240" w:lineRule="auto"/>
              <w:jc w:val="both"/>
            </w:pPr>
            <w:r>
              <w:rPr>
                <w:sz w:val="18"/>
              </w:rPr>
              <w:t>2.125.406,00</w:t>
            </w:r>
          </w:p>
        </w:tc>
        <w:tc>
          <w:tcPr>
            <w:tcW w:w="1860" w:type="dxa"/>
            <w:tcMar>
              <w:top w:w="0" w:type="dxa"/>
              <w:bottom w:w="0" w:type="dxa"/>
            </w:tcMar>
            <w:vAlign w:val="center"/>
          </w:tcPr>
          <w:p w14:paraId="796F93D3" w14:textId="77777777" w:rsidR="00C445AE" w:rsidRDefault="00000000" w:rsidP="00742AC7">
            <w:pPr>
              <w:keepNext/>
              <w:keepLines/>
              <w:spacing w:after="0" w:line="240" w:lineRule="auto"/>
              <w:jc w:val="both"/>
            </w:pPr>
            <w:r>
              <w:rPr>
                <w:sz w:val="18"/>
              </w:rPr>
              <w:t>4.331.236,61</w:t>
            </w:r>
          </w:p>
        </w:tc>
        <w:tc>
          <w:tcPr>
            <w:tcW w:w="700" w:type="dxa"/>
            <w:tcMar>
              <w:top w:w="0" w:type="dxa"/>
              <w:bottom w:w="0" w:type="dxa"/>
            </w:tcMar>
            <w:vAlign w:val="center"/>
          </w:tcPr>
          <w:p w14:paraId="4887010F" w14:textId="77777777" w:rsidR="00C445AE" w:rsidRDefault="00000000" w:rsidP="00742AC7">
            <w:pPr>
              <w:keepNext/>
              <w:keepLines/>
              <w:spacing w:after="0" w:line="240" w:lineRule="auto"/>
              <w:jc w:val="both"/>
            </w:pPr>
            <w:r>
              <w:rPr>
                <w:sz w:val="18"/>
              </w:rPr>
              <w:t>203,8</w:t>
            </w:r>
          </w:p>
        </w:tc>
      </w:tr>
    </w:tbl>
    <w:p w14:paraId="0AF83BB2" w14:textId="77777777" w:rsidR="00C445AE" w:rsidRDefault="00C445AE" w:rsidP="00742AC7">
      <w:pPr>
        <w:spacing w:after="0"/>
        <w:jc w:val="both"/>
      </w:pPr>
    </w:p>
    <w:p w14:paraId="7016CDF0" w14:textId="59DE9732" w:rsidR="00C445AE" w:rsidRDefault="00000000" w:rsidP="00742AC7">
      <w:pPr>
        <w:jc w:val="both"/>
      </w:pPr>
      <w:r>
        <w:t xml:space="preserve">Stanje novčanih sredstava na kraju izvještajnog razdoblja (šifre 11P + '11-dugov.' - '11-potraž.') 11K  u iznosu od  4.331.236,61 EUR je veće za 103,8 % u odnosu na prošlu godinu u istom izvještajnom razdoblju kad stanje </w:t>
      </w:r>
      <w:r w:rsidR="00742AC7">
        <w:t>na</w:t>
      </w:r>
      <w:r>
        <w:t xml:space="preserve"> računu iznosilo 2.125.406,00 EUR.</w:t>
      </w:r>
      <w:r>
        <w:br/>
        <w:t>R</w:t>
      </w:r>
      <w:r w:rsidR="00742AC7">
        <w:t>az</w:t>
      </w:r>
      <w:r>
        <w:t>log većeg stanju novčanih sredstava u izvještajnom razdoblju je prošlogodišnja prodaja zemljišta u drugoj polovici 2025. godine.</w:t>
      </w:r>
    </w:p>
    <w:p w14:paraId="35E76BD2" w14:textId="77777777" w:rsidR="00C445AE" w:rsidRDefault="00C445AE" w:rsidP="00742AC7">
      <w:pPr>
        <w:jc w:val="both"/>
      </w:pPr>
    </w:p>
    <w:p w14:paraId="0A20260B" w14:textId="77777777" w:rsidR="00C445AE" w:rsidRDefault="00000000" w:rsidP="00742AC7">
      <w:pPr>
        <w:keepNext/>
        <w:spacing w:line="240" w:lineRule="auto"/>
        <w:jc w:val="both"/>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445AE" w14:paraId="122D6B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6023CE"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4A44F8"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1449B3C"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50042F07" w14:textId="77777777" w:rsidR="00C445AE" w:rsidRDefault="00000000" w:rsidP="00742AC7">
            <w:pPr>
              <w:keepNext/>
              <w:keepLines/>
              <w:spacing w:after="0" w:line="240" w:lineRule="auto"/>
              <w:jc w:val="both"/>
            </w:pPr>
            <w:r>
              <w:rPr>
                <w:b/>
                <w:sz w:val="18"/>
              </w:rPr>
              <w:t>Ostvareno u izvještajnom razdoblju prethodne godine</w:t>
            </w:r>
          </w:p>
        </w:tc>
        <w:tc>
          <w:tcPr>
            <w:tcW w:w="1860" w:type="dxa"/>
            <w:shd w:val="clear" w:color="auto" w:fill="E7F0F9"/>
            <w:tcMar>
              <w:top w:w="0" w:type="dxa"/>
              <w:bottom w:w="0" w:type="dxa"/>
            </w:tcMar>
            <w:vAlign w:val="center"/>
          </w:tcPr>
          <w:p w14:paraId="4B8CFE67" w14:textId="77777777" w:rsidR="00C445AE" w:rsidRDefault="00000000" w:rsidP="00742AC7">
            <w:pPr>
              <w:keepNext/>
              <w:keepLines/>
              <w:spacing w:after="0" w:line="240" w:lineRule="auto"/>
              <w:jc w:val="both"/>
            </w:pPr>
            <w:r>
              <w:rPr>
                <w:b/>
                <w:sz w:val="18"/>
              </w:rPr>
              <w:t>Ostvareno u izvještajnom razdoblju tekuće godine</w:t>
            </w:r>
          </w:p>
        </w:tc>
        <w:tc>
          <w:tcPr>
            <w:tcW w:w="700" w:type="dxa"/>
            <w:shd w:val="clear" w:color="auto" w:fill="E7F0F9"/>
            <w:tcMar>
              <w:top w:w="0" w:type="dxa"/>
              <w:bottom w:w="0" w:type="dxa"/>
            </w:tcMar>
            <w:vAlign w:val="center"/>
          </w:tcPr>
          <w:p w14:paraId="7B088D9B" w14:textId="77777777" w:rsidR="00C445AE" w:rsidRDefault="00000000" w:rsidP="00742AC7">
            <w:pPr>
              <w:keepNext/>
              <w:keepLines/>
              <w:spacing w:after="0" w:line="240" w:lineRule="auto"/>
              <w:jc w:val="both"/>
            </w:pPr>
            <w:r>
              <w:rPr>
                <w:b/>
                <w:sz w:val="18"/>
              </w:rPr>
              <w:t>Indeks (%)</w:t>
            </w:r>
          </w:p>
        </w:tc>
      </w:tr>
      <w:tr w:rsidR="00C445AE" w14:paraId="48875C10" w14:textId="77777777">
        <w:tblPrEx>
          <w:tblCellMar>
            <w:top w:w="0" w:type="dxa"/>
            <w:bottom w:w="0" w:type="dxa"/>
          </w:tblCellMar>
        </w:tblPrEx>
        <w:trPr>
          <w:cantSplit/>
          <w:trHeight w:val="560"/>
        </w:trPr>
        <w:tc>
          <w:tcPr>
            <w:tcW w:w="700" w:type="dxa"/>
            <w:tcMar>
              <w:top w:w="0" w:type="dxa"/>
              <w:bottom w:w="0" w:type="dxa"/>
            </w:tcMar>
            <w:vAlign w:val="center"/>
          </w:tcPr>
          <w:p w14:paraId="7381A819" w14:textId="77777777" w:rsidR="00C445AE" w:rsidRDefault="00000000" w:rsidP="00742AC7">
            <w:pPr>
              <w:keepNext/>
              <w:keepLines/>
              <w:spacing w:after="0" w:line="240" w:lineRule="auto"/>
              <w:jc w:val="both"/>
            </w:pPr>
            <w:r>
              <w:rPr>
                <w:sz w:val="18"/>
              </w:rPr>
              <w:t>36315</w:t>
            </w:r>
          </w:p>
        </w:tc>
        <w:tc>
          <w:tcPr>
            <w:tcW w:w="3180" w:type="dxa"/>
            <w:tcMar>
              <w:top w:w="0" w:type="dxa"/>
              <w:bottom w:w="0" w:type="dxa"/>
            </w:tcMar>
            <w:vAlign w:val="center"/>
          </w:tcPr>
          <w:p w14:paraId="501AB36D" w14:textId="77777777" w:rsidR="00C445AE" w:rsidRDefault="00000000" w:rsidP="00742AC7">
            <w:pPr>
              <w:keepNext/>
              <w:keepLines/>
              <w:spacing w:after="0" w:line="240" w:lineRule="auto"/>
              <w:jc w:val="both"/>
            </w:pPr>
            <w:r>
              <w:rPr>
                <w:sz w:val="18"/>
              </w:rPr>
              <w:t>Tekuće pomoći gradskim proračunima</w:t>
            </w:r>
          </w:p>
        </w:tc>
        <w:tc>
          <w:tcPr>
            <w:tcW w:w="700" w:type="dxa"/>
            <w:tcMar>
              <w:top w:w="0" w:type="dxa"/>
              <w:bottom w:w="0" w:type="dxa"/>
            </w:tcMar>
            <w:vAlign w:val="center"/>
          </w:tcPr>
          <w:p w14:paraId="2B624F9D" w14:textId="77777777" w:rsidR="00C445AE" w:rsidRDefault="00000000" w:rsidP="00742AC7">
            <w:pPr>
              <w:keepNext/>
              <w:keepLines/>
              <w:spacing w:after="0" w:line="240" w:lineRule="auto"/>
              <w:jc w:val="both"/>
            </w:pPr>
            <w:r>
              <w:rPr>
                <w:sz w:val="18"/>
              </w:rPr>
              <w:t>36315</w:t>
            </w:r>
          </w:p>
        </w:tc>
        <w:tc>
          <w:tcPr>
            <w:tcW w:w="1860" w:type="dxa"/>
            <w:tcMar>
              <w:top w:w="0" w:type="dxa"/>
              <w:bottom w:w="0" w:type="dxa"/>
            </w:tcMar>
            <w:vAlign w:val="center"/>
          </w:tcPr>
          <w:p w14:paraId="75950CE7" w14:textId="77777777" w:rsidR="00C445AE" w:rsidRDefault="00000000" w:rsidP="00742AC7">
            <w:pPr>
              <w:keepNext/>
              <w:keepLines/>
              <w:spacing w:after="0" w:line="240" w:lineRule="auto"/>
              <w:jc w:val="both"/>
            </w:pPr>
            <w:r>
              <w:rPr>
                <w:sz w:val="18"/>
              </w:rPr>
              <w:t>76.912,02</w:t>
            </w:r>
          </w:p>
        </w:tc>
        <w:tc>
          <w:tcPr>
            <w:tcW w:w="1860" w:type="dxa"/>
            <w:tcMar>
              <w:top w:w="0" w:type="dxa"/>
              <w:bottom w:w="0" w:type="dxa"/>
            </w:tcMar>
            <w:vAlign w:val="center"/>
          </w:tcPr>
          <w:p w14:paraId="721CF612" w14:textId="77777777" w:rsidR="00C445AE" w:rsidRDefault="00000000" w:rsidP="00742AC7">
            <w:pPr>
              <w:keepNext/>
              <w:keepLines/>
              <w:spacing w:after="0" w:line="240" w:lineRule="auto"/>
              <w:jc w:val="both"/>
            </w:pPr>
            <w:r>
              <w:rPr>
                <w:sz w:val="18"/>
              </w:rPr>
              <w:t>100.897,70</w:t>
            </w:r>
          </w:p>
        </w:tc>
        <w:tc>
          <w:tcPr>
            <w:tcW w:w="700" w:type="dxa"/>
            <w:tcMar>
              <w:top w:w="0" w:type="dxa"/>
              <w:bottom w:w="0" w:type="dxa"/>
            </w:tcMar>
            <w:vAlign w:val="center"/>
          </w:tcPr>
          <w:p w14:paraId="5C190FFE" w14:textId="77777777" w:rsidR="00C445AE" w:rsidRDefault="00000000" w:rsidP="00742AC7">
            <w:pPr>
              <w:keepNext/>
              <w:keepLines/>
              <w:spacing w:after="0" w:line="240" w:lineRule="auto"/>
              <w:jc w:val="both"/>
            </w:pPr>
            <w:r>
              <w:rPr>
                <w:sz w:val="18"/>
              </w:rPr>
              <w:t>131,2</w:t>
            </w:r>
          </w:p>
        </w:tc>
      </w:tr>
    </w:tbl>
    <w:p w14:paraId="0BE3B505" w14:textId="77777777" w:rsidR="00C445AE" w:rsidRDefault="00C445AE" w:rsidP="00742AC7">
      <w:pPr>
        <w:spacing w:after="0"/>
        <w:jc w:val="both"/>
      </w:pPr>
    </w:p>
    <w:p w14:paraId="39A4472D" w14:textId="040E470F" w:rsidR="00C445AE" w:rsidRDefault="00000000" w:rsidP="00742AC7">
      <w:pPr>
        <w:jc w:val="both"/>
      </w:pPr>
      <w:r>
        <w:t>Tekuće pomoći gradskim proračunima (šifra 36315) u izvještajnom razdoblju iznose 100.897,70 što je 31,2% više u odnosu na prošlu godinu u istom razdoblju kad su realizirani sa 76.912,02 EUR. Razlog tome su veće ispl</w:t>
      </w:r>
      <w:r w:rsidR="00742AC7">
        <w:t>a</w:t>
      </w:r>
      <w:r>
        <w:t>te prema Gradu Puli za izravnanja za decentralizirane funkcije (vatrogastva).</w:t>
      </w:r>
      <w:r>
        <w:br/>
      </w:r>
    </w:p>
    <w:p w14:paraId="6E4B5253" w14:textId="77777777" w:rsidR="00C445AE" w:rsidRDefault="00000000" w:rsidP="00742AC7">
      <w:pPr>
        <w:jc w:val="both"/>
      </w:pPr>
      <w:r>
        <w:br/>
      </w:r>
    </w:p>
    <w:p w14:paraId="5AA23735" w14:textId="77777777" w:rsidR="00C445AE" w:rsidRDefault="00C445AE" w:rsidP="00742AC7">
      <w:pPr>
        <w:jc w:val="both"/>
      </w:pPr>
    </w:p>
    <w:p w14:paraId="1C2CCC3D" w14:textId="77777777" w:rsidR="00C445AE" w:rsidRDefault="00000000" w:rsidP="00742AC7">
      <w:pPr>
        <w:keepNext/>
        <w:spacing w:line="240" w:lineRule="auto"/>
        <w:jc w:val="both"/>
      </w:pPr>
      <w:r>
        <w:rPr>
          <w:b/>
          <w:sz w:val="28"/>
        </w:rPr>
        <w:t>Izvještaj o obvezama</w:t>
      </w:r>
    </w:p>
    <w:p w14:paraId="7DA40DC8" w14:textId="77777777" w:rsidR="00C445AE" w:rsidRDefault="00000000" w:rsidP="00742AC7">
      <w:pPr>
        <w:keepNext/>
        <w:spacing w:line="240" w:lineRule="auto"/>
        <w:jc w:val="both"/>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445AE" w14:paraId="706410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B1B8C1" w14:textId="77777777" w:rsidR="00C445AE" w:rsidRDefault="00000000" w:rsidP="00742AC7">
            <w:pPr>
              <w:keepNext/>
              <w:keepLines/>
              <w:spacing w:after="0" w:line="240" w:lineRule="auto"/>
              <w:jc w:val="both"/>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098AC5" w14:textId="77777777" w:rsidR="00C445AE" w:rsidRDefault="00000000" w:rsidP="00742AC7">
            <w:pPr>
              <w:keepNext/>
              <w:keepLines/>
              <w:spacing w:after="0" w:line="240" w:lineRule="auto"/>
              <w:jc w:val="both"/>
            </w:pPr>
            <w:r>
              <w:rPr>
                <w:b/>
                <w:sz w:val="18"/>
              </w:rPr>
              <w:t>Opis stavke</w:t>
            </w:r>
          </w:p>
        </w:tc>
        <w:tc>
          <w:tcPr>
            <w:tcW w:w="700" w:type="dxa"/>
            <w:shd w:val="clear" w:color="auto" w:fill="E7F0F9"/>
            <w:tcMar>
              <w:top w:w="0" w:type="dxa"/>
              <w:bottom w:w="0" w:type="dxa"/>
            </w:tcMar>
            <w:vAlign w:val="center"/>
          </w:tcPr>
          <w:p w14:paraId="531D8C6B" w14:textId="77777777" w:rsidR="00C445AE" w:rsidRDefault="00000000" w:rsidP="00742AC7">
            <w:pPr>
              <w:keepNext/>
              <w:keepLines/>
              <w:spacing w:after="0" w:line="240" w:lineRule="auto"/>
              <w:jc w:val="both"/>
            </w:pPr>
            <w:r>
              <w:rPr>
                <w:b/>
                <w:sz w:val="18"/>
              </w:rPr>
              <w:t>Šifra</w:t>
            </w:r>
          </w:p>
        </w:tc>
        <w:tc>
          <w:tcPr>
            <w:tcW w:w="1860" w:type="dxa"/>
            <w:shd w:val="clear" w:color="auto" w:fill="E7F0F9"/>
            <w:tcMar>
              <w:top w:w="0" w:type="dxa"/>
              <w:bottom w:w="0" w:type="dxa"/>
            </w:tcMar>
            <w:vAlign w:val="center"/>
          </w:tcPr>
          <w:p w14:paraId="2FA0D172" w14:textId="77777777" w:rsidR="00C445AE" w:rsidRDefault="00000000" w:rsidP="00742AC7">
            <w:pPr>
              <w:keepNext/>
              <w:keepLines/>
              <w:spacing w:after="0" w:line="240" w:lineRule="auto"/>
              <w:jc w:val="both"/>
            </w:pPr>
            <w:r>
              <w:rPr>
                <w:b/>
                <w:sz w:val="18"/>
              </w:rPr>
              <w:t>Iznos</w:t>
            </w:r>
          </w:p>
        </w:tc>
        <w:tc>
          <w:tcPr>
            <w:tcW w:w="700" w:type="dxa"/>
            <w:shd w:val="clear" w:color="auto" w:fill="E7F0F9"/>
            <w:tcMar>
              <w:top w:w="0" w:type="dxa"/>
              <w:bottom w:w="0" w:type="dxa"/>
            </w:tcMar>
            <w:vAlign w:val="center"/>
          </w:tcPr>
          <w:p w14:paraId="478FBD75" w14:textId="77777777" w:rsidR="00C445AE" w:rsidRDefault="00000000" w:rsidP="00742AC7">
            <w:pPr>
              <w:keepNext/>
              <w:keepLines/>
              <w:spacing w:after="0" w:line="240" w:lineRule="auto"/>
              <w:jc w:val="both"/>
            </w:pPr>
            <w:r>
              <w:rPr>
                <w:b/>
                <w:sz w:val="18"/>
              </w:rPr>
              <w:t>Indeks (%)</w:t>
            </w:r>
          </w:p>
        </w:tc>
      </w:tr>
      <w:tr w:rsidR="00C445AE" w14:paraId="324C5D15" w14:textId="77777777">
        <w:tblPrEx>
          <w:tblCellMar>
            <w:top w:w="0" w:type="dxa"/>
            <w:bottom w:w="0" w:type="dxa"/>
          </w:tblCellMar>
        </w:tblPrEx>
        <w:trPr>
          <w:cantSplit/>
          <w:trHeight w:val="560"/>
        </w:trPr>
        <w:tc>
          <w:tcPr>
            <w:tcW w:w="700" w:type="dxa"/>
            <w:tcMar>
              <w:top w:w="0" w:type="dxa"/>
              <w:bottom w:w="0" w:type="dxa"/>
            </w:tcMar>
            <w:vAlign w:val="center"/>
          </w:tcPr>
          <w:p w14:paraId="49D777D9" w14:textId="77777777" w:rsidR="00C445AE" w:rsidRDefault="00C445AE" w:rsidP="00742AC7">
            <w:pPr>
              <w:keepNext/>
              <w:keepLines/>
              <w:spacing w:after="0" w:line="240" w:lineRule="auto"/>
              <w:jc w:val="both"/>
            </w:pPr>
          </w:p>
        </w:tc>
        <w:tc>
          <w:tcPr>
            <w:tcW w:w="3180" w:type="dxa"/>
            <w:tcMar>
              <w:top w:w="0" w:type="dxa"/>
              <w:bottom w:w="0" w:type="dxa"/>
            </w:tcMar>
            <w:vAlign w:val="center"/>
          </w:tcPr>
          <w:p w14:paraId="6A1D8DAE" w14:textId="77777777" w:rsidR="00C445AE" w:rsidRDefault="00000000" w:rsidP="00742AC7">
            <w:pPr>
              <w:keepNext/>
              <w:keepLines/>
              <w:spacing w:after="0" w:line="240" w:lineRule="auto"/>
              <w:jc w:val="both"/>
            </w:pPr>
            <w:r>
              <w:rPr>
                <w:sz w:val="18"/>
              </w:rPr>
              <w:t>Stanje dospjelih obveza na kraju izvještajnog razdoblja (šifre V008+D23+D24 + 'D dio 25,26' + D27)</w:t>
            </w:r>
          </w:p>
        </w:tc>
        <w:tc>
          <w:tcPr>
            <w:tcW w:w="700" w:type="dxa"/>
            <w:tcMar>
              <w:top w:w="0" w:type="dxa"/>
              <w:bottom w:w="0" w:type="dxa"/>
            </w:tcMar>
            <w:vAlign w:val="center"/>
          </w:tcPr>
          <w:p w14:paraId="0AD141DA" w14:textId="77777777" w:rsidR="00C445AE" w:rsidRDefault="00000000" w:rsidP="00742AC7">
            <w:pPr>
              <w:keepNext/>
              <w:keepLines/>
              <w:spacing w:after="0" w:line="240" w:lineRule="auto"/>
              <w:jc w:val="both"/>
            </w:pPr>
            <w:r>
              <w:rPr>
                <w:sz w:val="18"/>
              </w:rPr>
              <w:t>V007</w:t>
            </w:r>
          </w:p>
        </w:tc>
        <w:tc>
          <w:tcPr>
            <w:tcW w:w="1860" w:type="dxa"/>
            <w:tcMar>
              <w:top w:w="0" w:type="dxa"/>
              <w:bottom w:w="0" w:type="dxa"/>
            </w:tcMar>
            <w:vAlign w:val="center"/>
          </w:tcPr>
          <w:p w14:paraId="18D8026B" w14:textId="77777777" w:rsidR="00C445AE" w:rsidRDefault="00000000" w:rsidP="00742AC7">
            <w:pPr>
              <w:keepNext/>
              <w:keepLines/>
              <w:spacing w:after="0" w:line="240" w:lineRule="auto"/>
              <w:jc w:val="both"/>
            </w:pPr>
            <w:r>
              <w:rPr>
                <w:sz w:val="18"/>
              </w:rPr>
              <w:t>171.826,98</w:t>
            </w:r>
          </w:p>
        </w:tc>
        <w:tc>
          <w:tcPr>
            <w:tcW w:w="700" w:type="dxa"/>
            <w:tcMar>
              <w:top w:w="0" w:type="dxa"/>
              <w:bottom w:w="0" w:type="dxa"/>
            </w:tcMar>
            <w:vAlign w:val="center"/>
          </w:tcPr>
          <w:p w14:paraId="31E17B85" w14:textId="77777777" w:rsidR="00C445AE" w:rsidRDefault="00000000" w:rsidP="00742AC7">
            <w:pPr>
              <w:keepNext/>
              <w:keepLines/>
              <w:spacing w:after="0" w:line="240" w:lineRule="auto"/>
              <w:jc w:val="both"/>
            </w:pPr>
            <w:r>
              <w:rPr>
                <w:sz w:val="18"/>
              </w:rPr>
              <w:t>-</w:t>
            </w:r>
          </w:p>
        </w:tc>
      </w:tr>
    </w:tbl>
    <w:p w14:paraId="369BB836" w14:textId="77777777" w:rsidR="00C445AE" w:rsidRDefault="00C445AE" w:rsidP="00742AC7">
      <w:pPr>
        <w:spacing w:after="0"/>
        <w:jc w:val="both"/>
      </w:pPr>
    </w:p>
    <w:p w14:paraId="0EF6B155" w14:textId="77777777" w:rsidR="00C445AE" w:rsidRDefault="00000000" w:rsidP="00742AC7">
      <w:pPr>
        <w:jc w:val="both"/>
      </w:pPr>
      <w:r>
        <w:t>Općina Fažana je na kraju izvještajnog razdoblja imala dospjelih obveza (šifra V007) u iznosu od 171.826,98 EUR.</w:t>
      </w:r>
    </w:p>
    <w:p w14:paraId="28FDC8D2" w14:textId="77777777" w:rsidR="00C445AE" w:rsidRDefault="00000000" w:rsidP="00742AC7">
      <w:pPr>
        <w:jc w:val="both"/>
      </w:pPr>
      <w:r>
        <w:t>Ukupne obveze Općine Fažana na dan 30. lipnja 2026. godine iznose 1.419.686,90 EUR, od toga dospjelih obveza u iznosu od 171.826,98 EUR, a nedospjelih obveza u iznosu od 1.247.859,92 EUR.</w:t>
      </w:r>
    </w:p>
    <w:p w14:paraId="2B0DE9F2" w14:textId="77777777" w:rsidR="00C445AE" w:rsidRDefault="00000000" w:rsidP="00742AC7">
      <w:pPr>
        <w:jc w:val="both"/>
      </w:pPr>
      <w:r>
        <w:t> </w:t>
      </w:r>
    </w:p>
    <w:p w14:paraId="4FD4B198" w14:textId="77777777" w:rsidR="00C445AE" w:rsidRDefault="00000000" w:rsidP="00742AC7">
      <w:pPr>
        <w:jc w:val="both"/>
      </w:pPr>
      <w:r>
        <w:t>Dospjele obveze (šifra V007) u izvještajnom razdoblju odnose se na slijedeće:</w:t>
      </w:r>
    </w:p>
    <w:p w14:paraId="2DADF567" w14:textId="77777777" w:rsidR="00C445AE" w:rsidRDefault="00000000" w:rsidP="00742AC7">
      <w:pPr>
        <w:jc w:val="both"/>
      </w:pPr>
      <w:r>
        <w:t>- obveze za rashode poslovanja (D23) u iznosu od 117.459,77 EUR </w:t>
      </w:r>
    </w:p>
    <w:p w14:paraId="05AC3A73" w14:textId="77777777" w:rsidR="00C445AE" w:rsidRDefault="00000000" w:rsidP="00742AC7">
      <w:pPr>
        <w:jc w:val="both"/>
      </w:pPr>
      <w:r>
        <w:t>- obveze za nabavu nefinancijske imovine (D24) u iznosu od 54.367,21 EUR.</w:t>
      </w:r>
    </w:p>
    <w:p w14:paraId="3B4B12F0" w14:textId="77777777" w:rsidR="00C445AE" w:rsidRDefault="00000000" w:rsidP="00742AC7">
      <w:pPr>
        <w:jc w:val="both"/>
      </w:pPr>
      <w:r>
        <w:t> </w:t>
      </w:r>
    </w:p>
    <w:p w14:paraId="4A224DC4" w14:textId="77777777" w:rsidR="00C445AE" w:rsidRDefault="00000000" w:rsidP="00742AC7">
      <w:pPr>
        <w:jc w:val="both"/>
      </w:pPr>
      <w:r>
        <w:t>Obveze za rashode poslovanja (šifra D23) čine obveze za:</w:t>
      </w:r>
    </w:p>
    <w:p w14:paraId="210E241C" w14:textId="77777777" w:rsidR="00C445AE" w:rsidRDefault="00000000" w:rsidP="00742AC7">
      <w:pPr>
        <w:jc w:val="both"/>
      </w:pPr>
      <w:r>
        <w:t>-materijalne rashode (D232) u iznosu od 86.544,68 EUR </w:t>
      </w:r>
    </w:p>
    <w:p w14:paraId="368BF9B9" w14:textId="77777777" w:rsidR="00C445AE" w:rsidRDefault="00000000" w:rsidP="00742AC7">
      <w:pPr>
        <w:jc w:val="both"/>
      </w:pPr>
      <w:r>
        <w:t>-financijske rashode (D234) u iznosu od 2.304,98 EUR,</w:t>
      </w:r>
    </w:p>
    <w:p w14:paraId="32F806D9" w14:textId="77777777" w:rsidR="00C445AE" w:rsidRDefault="00000000" w:rsidP="00742AC7">
      <w:pPr>
        <w:jc w:val="both"/>
      </w:pPr>
      <w:r>
        <w:lastRenderedPageBreak/>
        <w:t>-subvencije (D235) u iznosu od 2.974,11 EUR</w:t>
      </w:r>
    </w:p>
    <w:p w14:paraId="702B8819" w14:textId="77777777" w:rsidR="00C445AE" w:rsidRDefault="00000000" w:rsidP="00742AC7">
      <w:pPr>
        <w:jc w:val="both"/>
      </w:pPr>
      <w:r>
        <w:t>-naknade građanima i kućanstvima (D237) u iznosu od 3.236,00 EUR</w:t>
      </w:r>
    </w:p>
    <w:p w14:paraId="51111C0B" w14:textId="77777777" w:rsidR="00C445AE" w:rsidRDefault="00000000" w:rsidP="00742AC7">
      <w:pPr>
        <w:jc w:val="both"/>
      </w:pPr>
      <w:r>
        <w:t>-donacije, kazne, kapitalne pomoći (D238) u iznosu od 22.400,00 EUR.</w:t>
      </w:r>
    </w:p>
    <w:p w14:paraId="186DC0AB" w14:textId="77777777" w:rsidR="00C445AE" w:rsidRDefault="00000000" w:rsidP="00742AC7">
      <w:pPr>
        <w:jc w:val="both"/>
      </w:pPr>
      <w:r>
        <w:t> </w:t>
      </w:r>
    </w:p>
    <w:p w14:paraId="45851E76" w14:textId="77777777" w:rsidR="00C445AE" w:rsidRDefault="00000000" w:rsidP="00742AC7">
      <w:pPr>
        <w:jc w:val="both"/>
      </w:pPr>
      <w:r>
        <w:t>Obveze za nabavu nefinancijske imovine (D24) čine obveze za:</w:t>
      </w:r>
    </w:p>
    <w:p w14:paraId="1EEE7381" w14:textId="77777777" w:rsidR="00C445AE" w:rsidRDefault="00000000" w:rsidP="00742AC7">
      <w:pPr>
        <w:jc w:val="both"/>
      </w:pPr>
      <w:r>
        <w:t xml:space="preserve">-nabavu </w:t>
      </w:r>
      <w:proofErr w:type="spellStart"/>
      <w:r>
        <w:t>neproizvedene</w:t>
      </w:r>
      <w:proofErr w:type="spellEnd"/>
      <w:r>
        <w:t xml:space="preserve"> dugotrajne imovine u iznosu od 1.000,00 EUR,</w:t>
      </w:r>
    </w:p>
    <w:p w14:paraId="3CD1DF26" w14:textId="77777777" w:rsidR="00C445AE" w:rsidRDefault="00000000" w:rsidP="00742AC7">
      <w:pPr>
        <w:jc w:val="both"/>
      </w:pPr>
      <w:r>
        <w:t>-nabavu proizvedene dugotrajne imovine u iznosu od 53.367,21 EUR.</w:t>
      </w:r>
    </w:p>
    <w:p w14:paraId="5A6A92FD" w14:textId="77777777" w:rsidR="00C445AE" w:rsidRDefault="00000000" w:rsidP="00742AC7">
      <w:pPr>
        <w:jc w:val="both"/>
      </w:pPr>
      <w:r>
        <w:t> </w:t>
      </w:r>
    </w:p>
    <w:p w14:paraId="4595DA1D" w14:textId="77777777" w:rsidR="00C445AE" w:rsidRDefault="00000000" w:rsidP="00742AC7">
      <w:pPr>
        <w:jc w:val="both"/>
      </w:pPr>
      <w:r>
        <w:t>Dospijeća dospjelih obveza D232 po danima : </w:t>
      </w:r>
    </w:p>
    <w:p w14:paraId="20DD5B16" w14:textId="77777777" w:rsidR="00C445AE" w:rsidRDefault="00000000" w:rsidP="00742AC7">
      <w:pPr>
        <w:jc w:val="both"/>
      </w:pPr>
      <w:r>
        <w:t xml:space="preserve">a) prekoračenje do 60 dana - obveze iznose 85.118,17 EUR ( računi za autorska </w:t>
      </w:r>
      <w:proofErr w:type="spellStart"/>
      <w:r>
        <w:t>djela,izradu</w:t>
      </w:r>
      <w:proofErr w:type="spellEnd"/>
      <w:r>
        <w:t xml:space="preserve"> procjembenih elaborata, usluga servisa vatrogasnog vozila, usluga izrade Programa zaštite divljači, te račun za piće...pojedini računi zaprimljeni kasno, ali većina je plaćena u roku 10-15 dana od dospijeća)</w:t>
      </w:r>
    </w:p>
    <w:p w14:paraId="66FC1895" w14:textId="77777777" w:rsidR="00C445AE" w:rsidRDefault="00000000" w:rsidP="00742AC7">
      <w:pPr>
        <w:jc w:val="both"/>
      </w:pPr>
      <w:r>
        <w:t>b) prekoračenje do 360 dana - obveze iznose 1.426,51 EUR (računi za ugostiteljske usluge i osiguranja, koji se osporavaju, obveze nisu usklađene ili su osporavane- u tijeku storniranje obveza).</w:t>
      </w:r>
    </w:p>
    <w:p w14:paraId="7047F1CE" w14:textId="77777777" w:rsidR="00C445AE" w:rsidRDefault="00000000" w:rsidP="00742AC7">
      <w:pPr>
        <w:jc w:val="both"/>
      </w:pPr>
      <w:r>
        <w:t>Dospijeća dospjelih obveza D234 po danima:</w:t>
      </w:r>
    </w:p>
    <w:p w14:paraId="13145856" w14:textId="77777777" w:rsidR="00C445AE" w:rsidRDefault="00000000" w:rsidP="00742AC7">
      <w:pPr>
        <w:jc w:val="both"/>
      </w:pPr>
      <w:r>
        <w:t>a) prekoračenje do 60 dana - obveze iznose 2.304,98 (odnose se na račune banaka za kamate na kredite od IKB-a i ZABA-e...plaćeni 4 dana nakon dospijeća).</w:t>
      </w:r>
    </w:p>
    <w:p w14:paraId="0E8D8F52" w14:textId="77777777" w:rsidR="00C445AE" w:rsidRDefault="00000000" w:rsidP="00742AC7">
      <w:pPr>
        <w:jc w:val="both"/>
      </w:pPr>
      <w:r>
        <w:t>Dospijeća dospjelih obveza D235 po danima:</w:t>
      </w:r>
    </w:p>
    <w:p w14:paraId="67BFF97B" w14:textId="77777777" w:rsidR="00C445AE" w:rsidRDefault="00000000" w:rsidP="00742AC7">
      <w:pPr>
        <w:jc w:val="both"/>
      </w:pPr>
      <w:r>
        <w:t>a) prekoračenje do 60 dana - obveze iznose 2.974,11 EUR (odnose se na računi od Komunalca - dostavljen nakon dospijeća).</w:t>
      </w:r>
    </w:p>
    <w:p w14:paraId="4AD2C278" w14:textId="77777777" w:rsidR="00C445AE" w:rsidRDefault="00000000" w:rsidP="00742AC7">
      <w:pPr>
        <w:jc w:val="both"/>
      </w:pPr>
      <w:r>
        <w:t>Dospijeća dospjelih obveza D237 po danima:</w:t>
      </w:r>
    </w:p>
    <w:p w14:paraId="127B46D2" w14:textId="77777777" w:rsidR="00C445AE" w:rsidRDefault="00000000" w:rsidP="00742AC7">
      <w:pPr>
        <w:jc w:val="both"/>
      </w:pPr>
      <w:r>
        <w:t xml:space="preserve">a)  prekoračenje do 60 dana - obveze iznose 3.236,00 EUR (odnose se na pomoći koje se isplaćuju </w:t>
      </w:r>
      <w:proofErr w:type="spellStart"/>
      <w:r>
        <w:t>Pulaprometu</w:t>
      </w:r>
      <w:proofErr w:type="spellEnd"/>
      <w:r>
        <w:t xml:space="preserve"> za mjesečne karte - kasno dostavljen zahtjev za isplatu za 06/2026. i račun za </w:t>
      </w:r>
      <w:proofErr w:type="spellStart"/>
      <w:r>
        <w:t>ugost</w:t>
      </w:r>
      <w:proofErr w:type="spellEnd"/>
      <w:r>
        <w:t>. usluge pripreme toplih obroka - kompenzacija u tijeku).</w:t>
      </w:r>
    </w:p>
    <w:p w14:paraId="1E5895DF" w14:textId="77777777" w:rsidR="00C445AE" w:rsidRDefault="00000000" w:rsidP="00742AC7">
      <w:pPr>
        <w:jc w:val="both"/>
      </w:pPr>
      <w:r>
        <w:t>Dospijeća dospjelih obveza D238 po danima:</w:t>
      </w:r>
    </w:p>
    <w:p w14:paraId="477A4C9A" w14:textId="77777777" w:rsidR="00C445AE" w:rsidRDefault="00000000" w:rsidP="00742AC7">
      <w:pPr>
        <w:jc w:val="both"/>
      </w:pPr>
      <w:r>
        <w:t>a) prekoračenje do 60 dana - obveze iznose 22.400,00 EU EUR (odnose se na račun za  izgradnju prometnice od Istarskih cesta - obveza podmirena 14 dana od dospijeća).</w:t>
      </w:r>
    </w:p>
    <w:p w14:paraId="39D97973" w14:textId="77777777" w:rsidR="00C445AE" w:rsidRDefault="00000000" w:rsidP="00742AC7">
      <w:pPr>
        <w:jc w:val="both"/>
      </w:pPr>
      <w:r>
        <w:t> </w:t>
      </w:r>
    </w:p>
    <w:p w14:paraId="671511E2" w14:textId="77777777" w:rsidR="00C445AE" w:rsidRDefault="00000000" w:rsidP="00742AC7">
      <w:pPr>
        <w:jc w:val="both"/>
      </w:pPr>
      <w:r>
        <w:t>Obveze za nabavu nefinancijske imovine (D24) u iznosu od 54.367,21 EUR čine obveze za :</w:t>
      </w:r>
    </w:p>
    <w:p w14:paraId="2E5BF487" w14:textId="77777777" w:rsidR="00C445AE" w:rsidRDefault="00000000" w:rsidP="00742AC7">
      <w:pPr>
        <w:jc w:val="both"/>
      </w:pPr>
      <w:r>
        <w:t xml:space="preserve">-   nabavu </w:t>
      </w:r>
      <w:proofErr w:type="spellStart"/>
      <w:r>
        <w:t>neproizvedene</w:t>
      </w:r>
      <w:proofErr w:type="spellEnd"/>
      <w:r>
        <w:t xml:space="preserve"> dugotrajne imovine (D241) i proizvedene dugotrajne imovine (D242).</w:t>
      </w:r>
    </w:p>
    <w:p w14:paraId="18C0A853" w14:textId="77777777" w:rsidR="00C445AE" w:rsidRDefault="00000000" w:rsidP="00742AC7">
      <w:pPr>
        <w:jc w:val="both"/>
      </w:pPr>
      <w:r>
        <w:lastRenderedPageBreak/>
        <w:t>Dospijeća dospjelih obveza D24 po danima :</w:t>
      </w:r>
    </w:p>
    <w:p w14:paraId="3206445B" w14:textId="77777777" w:rsidR="00C445AE" w:rsidRDefault="00000000" w:rsidP="00742AC7">
      <w:pPr>
        <w:jc w:val="both"/>
      </w:pPr>
      <w:r>
        <w:t>a) prekoračenje do 60 dana - obveze iznose 52.887,88,00 EUR (račun za konzultantske usluge - podmiren 20ak dana od dospijeća i račun za sanitarni čvor na plaži - podmiren 7 dana od dospijeća, račun za izradu VIII. ID PPU Fažana i račun za izradu izmjenu glavnog projekta za izgradnju Nogom. centra).</w:t>
      </w:r>
    </w:p>
    <w:p w14:paraId="3579267C" w14:textId="77777777" w:rsidR="00C445AE" w:rsidRDefault="00000000" w:rsidP="00742AC7">
      <w:pPr>
        <w:jc w:val="both"/>
      </w:pPr>
      <w:r>
        <w:t xml:space="preserve">b) prekoračenje do 360 dana – obveze u iznosu od 1.479,33 EUR (račun tvrtke Vodovod Pula i CAR DEC 2025 </w:t>
      </w:r>
      <w:proofErr w:type="spellStart"/>
      <w:r>
        <w:t>j.do.o</w:t>
      </w:r>
      <w:proofErr w:type="spellEnd"/>
      <w:r>
        <w:t>. - neusklađenost stanja, usklađivanje u tijeku).</w:t>
      </w:r>
    </w:p>
    <w:p w14:paraId="03C62B35" w14:textId="77777777" w:rsidR="00C445AE" w:rsidRDefault="00000000" w:rsidP="00742AC7">
      <w:pPr>
        <w:jc w:val="both"/>
      </w:pPr>
      <w:r>
        <w:t> </w:t>
      </w:r>
    </w:p>
    <w:p w14:paraId="647440A8" w14:textId="77777777" w:rsidR="00C445AE" w:rsidRDefault="00000000" w:rsidP="00742AC7">
      <w:pPr>
        <w:jc w:val="both"/>
      </w:pPr>
      <w:r>
        <w:t> </w:t>
      </w:r>
    </w:p>
    <w:p w14:paraId="5AE153E8" w14:textId="77777777" w:rsidR="00C445AE" w:rsidRDefault="00000000" w:rsidP="00742AC7">
      <w:pPr>
        <w:jc w:val="both"/>
      </w:pPr>
      <w:r>
        <w:t> </w:t>
      </w:r>
    </w:p>
    <w:p w14:paraId="115CD42F" w14:textId="77777777" w:rsidR="00C445AE" w:rsidRDefault="00C445AE" w:rsidP="00742AC7">
      <w:pPr>
        <w:jc w:val="both"/>
      </w:pPr>
    </w:p>
    <w:sectPr w:rsidR="00C44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5AE"/>
    <w:rsid w:val="00445CCB"/>
    <w:rsid w:val="00742AC7"/>
    <w:rsid w:val="00C445AE"/>
    <w:rsid w:val="00E95AEB"/>
    <w:rsid w:val="00F020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CF2C"/>
  <w15:docId w15:val="{A0C13235-5C90-4FE1-9732-E22EEA38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3867</Words>
  <Characters>22047</Characters>
  <Application>Microsoft Office Word</Application>
  <DocSecurity>0</DocSecurity>
  <Lines>183</Lines>
  <Paragraphs>51</Paragraphs>
  <ScaleCrop>false</ScaleCrop>
  <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Anjoš</dc:creator>
  <cp:lastModifiedBy>Admin Fažana</cp:lastModifiedBy>
  <cp:revision>2</cp:revision>
  <dcterms:created xsi:type="dcterms:W3CDTF">2026-07-21T08:52:00Z</dcterms:created>
  <dcterms:modified xsi:type="dcterms:W3CDTF">2026-07-21T08:52:00Z</dcterms:modified>
</cp:coreProperties>
</file>