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2797B" w14:paraId="0F971BD2" w14:textId="77777777">
        <w:tblPrEx>
          <w:tblCellMar>
            <w:top w:w="0" w:type="dxa"/>
            <w:bottom w:w="0" w:type="dxa"/>
          </w:tblCellMar>
        </w:tblPrEx>
        <w:trPr>
          <w:tblCellSpacing w:w="60" w:type="dxa"/>
        </w:trPr>
        <w:tc>
          <w:tcPr>
            <w:tcW w:w="1200" w:type="pct"/>
            <w:shd w:val="clear" w:color="auto" w:fill="E7F0F9"/>
          </w:tcPr>
          <w:p w14:paraId="750B26BC" w14:textId="77777777" w:rsidR="00C2797B" w:rsidRDefault="00000000">
            <w:pPr>
              <w:spacing w:after="0" w:line="240" w:lineRule="auto"/>
            </w:pPr>
            <w:r>
              <w:rPr>
                <w:b/>
              </w:rPr>
              <w:t>RKP broj</w:t>
            </w:r>
          </w:p>
        </w:tc>
        <w:tc>
          <w:tcPr>
            <w:tcW w:w="0" w:type="auto"/>
            <w:shd w:val="clear" w:color="auto" w:fill="E7F0F9"/>
          </w:tcPr>
          <w:p w14:paraId="47D9F4F4" w14:textId="77777777" w:rsidR="00C2797B" w:rsidRDefault="00000000">
            <w:pPr>
              <w:spacing w:after="0" w:line="240" w:lineRule="auto"/>
            </w:pPr>
            <w:r>
              <w:t>36209</w:t>
            </w:r>
          </w:p>
        </w:tc>
      </w:tr>
      <w:tr w:rsidR="00C2797B" w14:paraId="25E16019" w14:textId="77777777">
        <w:tblPrEx>
          <w:tblCellMar>
            <w:top w:w="0" w:type="dxa"/>
            <w:bottom w:w="0" w:type="dxa"/>
          </w:tblCellMar>
        </w:tblPrEx>
        <w:trPr>
          <w:tblCellSpacing w:w="60" w:type="dxa"/>
        </w:trPr>
        <w:tc>
          <w:tcPr>
            <w:tcW w:w="1200" w:type="pct"/>
            <w:shd w:val="clear" w:color="auto" w:fill="E7F0F9"/>
          </w:tcPr>
          <w:p w14:paraId="3312FF56" w14:textId="77777777" w:rsidR="00C2797B" w:rsidRDefault="00000000">
            <w:pPr>
              <w:spacing w:after="0" w:line="240" w:lineRule="auto"/>
            </w:pPr>
            <w:r>
              <w:rPr>
                <w:b/>
              </w:rPr>
              <w:t>Naziv obveznika</w:t>
            </w:r>
          </w:p>
        </w:tc>
        <w:tc>
          <w:tcPr>
            <w:tcW w:w="0" w:type="auto"/>
            <w:shd w:val="clear" w:color="auto" w:fill="E7F0F9"/>
          </w:tcPr>
          <w:p w14:paraId="7ADA5AFC" w14:textId="77777777" w:rsidR="00C2797B" w:rsidRDefault="00000000">
            <w:pPr>
              <w:spacing w:after="0" w:line="240" w:lineRule="auto"/>
            </w:pPr>
            <w:r>
              <w:t>OPĆINA FAŽANA</w:t>
            </w:r>
          </w:p>
        </w:tc>
      </w:tr>
      <w:tr w:rsidR="00C2797B" w14:paraId="6838D188" w14:textId="77777777">
        <w:tblPrEx>
          <w:tblCellMar>
            <w:top w:w="0" w:type="dxa"/>
            <w:bottom w:w="0" w:type="dxa"/>
          </w:tblCellMar>
        </w:tblPrEx>
        <w:trPr>
          <w:tblCellSpacing w:w="60" w:type="dxa"/>
        </w:trPr>
        <w:tc>
          <w:tcPr>
            <w:tcW w:w="1200" w:type="pct"/>
            <w:shd w:val="clear" w:color="auto" w:fill="E7F0F9"/>
          </w:tcPr>
          <w:p w14:paraId="52305DF2" w14:textId="77777777" w:rsidR="00C2797B" w:rsidRDefault="00000000">
            <w:pPr>
              <w:spacing w:after="0" w:line="240" w:lineRule="auto"/>
            </w:pPr>
            <w:r>
              <w:rPr>
                <w:b/>
              </w:rPr>
              <w:t>Razina</w:t>
            </w:r>
          </w:p>
        </w:tc>
        <w:tc>
          <w:tcPr>
            <w:tcW w:w="0" w:type="auto"/>
            <w:shd w:val="clear" w:color="auto" w:fill="E7F0F9"/>
          </w:tcPr>
          <w:p w14:paraId="2490F5F7" w14:textId="77777777" w:rsidR="00C2797B" w:rsidRDefault="00000000">
            <w:pPr>
              <w:spacing w:after="0" w:line="240" w:lineRule="auto"/>
            </w:pPr>
            <w:r>
              <w:t>22</w:t>
            </w:r>
          </w:p>
        </w:tc>
      </w:tr>
    </w:tbl>
    <w:p w14:paraId="66CB2F36" w14:textId="77777777" w:rsidR="00C2797B" w:rsidRDefault="00000000">
      <w:r>
        <w:br/>
      </w:r>
    </w:p>
    <w:p w14:paraId="1BDF1E89" w14:textId="77777777" w:rsidR="00C2797B" w:rsidRDefault="00000000">
      <w:pPr>
        <w:spacing w:line="240" w:lineRule="auto"/>
        <w:jc w:val="center"/>
      </w:pPr>
      <w:r>
        <w:rPr>
          <w:b/>
          <w:sz w:val="28"/>
        </w:rPr>
        <w:t>BILJEŠKE UZ FINANCIJSKE IZVJEŠTAJE</w:t>
      </w:r>
    </w:p>
    <w:p w14:paraId="59A3212B" w14:textId="77777777" w:rsidR="00C2797B" w:rsidRDefault="00000000">
      <w:pPr>
        <w:spacing w:line="240" w:lineRule="auto"/>
        <w:jc w:val="center"/>
      </w:pPr>
      <w:r>
        <w:rPr>
          <w:b/>
          <w:sz w:val="28"/>
        </w:rPr>
        <w:t>ZA RAZDOBLJE</w:t>
      </w:r>
    </w:p>
    <w:p w14:paraId="623C5FB0" w14:textId="77777777" w:rsidR="00C2797B" w:rsidRDefault="00000000">
      <w:pPr>
        <w:spacing w:line="240" w:lineRule="auto"/>
        <w:jc w:val="center"/>
      </w:pPr>
      <w:r>
        <w:rPr>
          <w:b/>
          <w:sz w:val="28"/>
        </w:rPr>
        <w:t>I - III 2026.</w:t>
      </w:r>
    </w:p>
    <w:p w14:paraId="412FC073" w14:textId="77777777" w:rsidR="00C2797B" w:rsidRDefault="00C2797B"/>
    <w:p w14:paraId="5FF6C9A0" w14:textId="77777777" w:rsidR="00C2797B" w:rsidRDefault="00000000">
      <w:pPr>
        <w:keepNext/>
        <w:spacing w:line="240" w:lineRule="auto"/>
        <w:jc w:val="center"/>
      </w:pPr>
      <w:r>
        <w:rPr>
          <w:b/>
          <w:sz w:val="28"/>
        </w:rPr>
        <w:t>Izvještaj o prihodima i rashodima, primicima i izdacima</w:t>
      </w:r>
    </w:p>
    <w:p w14:paraId="19A1F4C4" w14:textId="77777777" w:rsidR="00C2797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9F587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37BD6B"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AB73E"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04ABA6"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9EF53"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9F0BE9"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98AB6F" w14:textId="77777777" w:rsidR="00C2797B" w:rsidRDefault="00000000">
            <w:pPr>
              <w:keepNext/>
              <w:keepLines/>
              <w:spacing w:after="0" w:line="240" w:lineRule="auto"/>
              <w:jc w:val="center"/>
            </w:pPr>
            <w:r>
              <w:rPr>
                <w:b/>
                <w:sz w:val="18"/>
              </w:rPr>
              <w:t>Indeks (%)</w:t>
            </w:r>
          </w:p>
        </w:tc>
      </w:tr>
      <w:tr w:rsidR="00C2797B" w14:paraId="54F49A32" w14:textId="77777777">
        <w:tblPrEx>
          <w:tblCellMar>
            <w:top w:w="0" w:type="dxa"/>
            <w:bottom w:w="0" w:type="dxa"/>
          </w:tblCellMar>
        </w:tblPrEx>
        <w:trPr>
          <w:cantSplit/>
          <w:trHeight w:val="560"/>
        </w:trPr>
        <w:tc>
          <w:tcPr>
            <w:tcW w:w="700" w:type="dxa"/>
            <w:tcMar>
              <w:top w:w="0" w:type="dxa"/>
              <w:bottom w:w="0" w:type="dxa"/>
            </w:tcMar>
            <w:vAlign w:val="center"/>
          </w:tcPr>
          <w:p w14:paraId="4B51CE54" w14:textId="77777777" w:rsidR="00C2797B" w:rsidRDefault="00000000">
            <w:pPr>
              <w:keepNext/>
              <w:keepLines/>
              <w:spacing w:after="0" w:line="240" w:lineRule="auto"/>
            </w:pPr>
            <w:r>
              <w:rPr>
                <w:sz w:val="18"/>
              </w:rPr>
              <w:t>6</w:t>
            </w:r>
          </w:p>
        </w:tc>
        <w:tc>
          <w:tcPr>
            <w:tcW w:w="3180" w:type="dxa"/>
            <w:tcMar>
              <w:top w:w="0" w:type="dxa"/>
              <w:bottom w:w="0" w:type="dxa"/>
            </w:tcMar>
            <w:vAlign w:val="center"/>
          </w:tcPr>
          <w:p w14:paraId="1C655BF0" w14:textId="77777777" w:rsidR="00C2797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784BD7B" w14:textId="77777777" w:rsidR="00C2797B" w:rsidRDefault="00000000">
            <w:pPr>
              <w:keepNext/>
              <w:keepLines/>
              <w:spacing w:after="0" w:line="240" w:lineRule="auto"/>
            </w:pPr>
            <w:r>
              <w:rPr>
                <w:sz w:val="18"/>
              </w:rPr>
              <w:t>6</w:t>
            </w:r>
          </w:p>
        </w:tc>
        <w:tc>
          <w:tcPr>
            <w:tcW w:w="1860" w:type="dxa"/>
            <w:tcMar>
              <w:top w:w="0" w:type="dxa"/>
              <w:bottom w:w="0" w:type="dxa"/>
            </w:tcMar>
            <w:vAlign w:val="center"/>
          </w:tcPr>
          <w:p w14:paraId="3A6619D6" w14:textId="77777777" w:rsidR="00C2797B" w:rsidRDefault="00000000">
            <w:pPr>
              <w:keepNext/>
              <w:keepLines/>
              <w:spacing w:after="0" w:line="240" w:lineRule="auto"/>
              <w:jc w:val="right"/>
            </w:pPr>
            <w:r>
              <w:rPr>
                <w:sz w:val="18"/>
              </w:rPr>
              <w:t>1.227.196,75</w:t>
            </w:r>
          </w:p>
        </w:tc>
        <w:tc>
          <w:tcPr>
            <w:tcW w:w="1860" w:type="dxa"/>
            <w:tcMar>
              <w:top w:w="0" w:type="dxa"/>
              <w:bottom w:w="0" w:type="dxa"/>
            </w:tcMar>
            <w:vAlign w:val="center"/>
          </w:tcPr>
          <w:p w14:paraId="79F9EDD9" w14:textId="77777777" w:rsidR="00C2797B" w:rsidRDefault="00000000">
            <w:pPr>
              <w:keepNext/>
              <w:keepLines/>
              <w:spacing w:after="0" w:line="240" w:lineRule="auto"/>
              <w:jc w:val="right"/>
            </w:pPr>
            <w:r>
              <w:rPr>
                <w:sz w:val="18"/>
              </w:rPr>
              <w:t>1.306.024,12</w:t>
            </w:r>
          </w:p>
        </w:tc>
        <w:tc>
          <w:tcPr>
            <w:tcW w:w="700" w:type="dxa"/>
            <w:tcMar>
              <w:top w:w="0" w:type="dxa"/>
              <w:bottom w:w="0" w:type="dxa"/>
            </w:tcMar>
            <w:vAlign w:val="center"/>
          </w:tcPr>
          <w:p w14:paraId="04268623" w14:textId="77777777" w:rsidR="00C2797B" w:rsidRDefault="00000000">
            <w:pPr>
              <w:keepNext/>
              <w:keepLines/>
              <w:spacing w:after="0" w:line="240" w:lineRule="auto"/>
              <w:jc w:val="right"/>
            </w:pPr>
            <w:r>
              <w:rPr>
                <w:sz w:val="18"/>
              </w:rPr>
              <w:t>106,4</w:t>
            </w:r>
          </w:p>
        </w:tc>
      </w:tr>
      <w:tr w:rsidR="00C2797B" w14:paraId="4C0A6694" w14:textId="77777777">
        <w:tblPrEx>
          <w:tblCellMar>
            <w:top w:w="0" w:type="dxa"/>
            <w:bottom w:w="0" w:type="dxa"/>
          </w:tblCellMar>
        </w:tblPrEx>
        <w:trPr>
          <w:cantSplit/>
          <w:trHeight w:val="560"/>
        </w:trPr>
        <w:tc>
          <w:tcPr>
            <w:tcW w:w="700" w:type="dxa"/>
            <w:tcMar>
              <w:top w:w="0" w:type="dxa"/>
              <w:bottom w:w="0" w:type="dxa"/>
            </w:tcMar>
            <w:vAlign w:val="center"/>
          </w:tcPr>
          <w:p w14:paraId="46CC53D2" w14:textId="77777777" w:rsidR="00C2797B" w:rsidRDefault="00000000">
            <w:pPr>
              <w:keepNext/>
              <w:keepLines/>
              <w:spacing w:after="0" w:line="240" w:lineRule="auto"/>
            </w:pPr>
            <w:r>
              <w:rPr>
                <w:sz w:val="18"/>
              </w:rPr>
              <w:t>3</w:t>
            </w:r>
          </w:p>
        </w:tc>
        <w:tc>
          <w:tcPr>
            <w:tcW w:w="3180" w:type="dxa"/>
            <w:tcMar>
              <w:top w:w="0" w:type="dxa"/>
              <w:bottom w:w="0" w:type="dxa"/>
            </w:tcMar>
            <w:vAlign w:val="center"/>
          </w:tcPr>
          <w:p w14:paraId="27B86918" w14:textId="77777777" w:rsidR="00C2797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8A49455" w14:textId="77777777" w:rsidR="00C2797B" w:rsidRDefault="00000000">
            <w:pPr>
              <w:keepNext/>
              <w:keepLines/>
              <w:spacing w:after="0" w:line="240" w:lineRule="auto"/>
            </w:pPr>
            <w:r>
              <w:rPr>
                <w:sz w:val="18"/>
              </w:rPr>
              <w:t>3</w:t>
            </w:r>
          </w:p>
        </w:tc>
        <w:tc>
          <w:tcPr>
            <w:tcW w:w="1860" w:type="dxa"/>
            <w:tcMar>
              <w:top w:w="0" w:type="dxa"/>
              <w:bottom w:w="0" w:type="dxa"/>
            </w:tcMar>
            <w:vAlign w:val="center"/>
          </w:tcPr>
          <w:p w14:paraId="0CDB802F" w14:textId="77777777" w:rsidR="00C2797B" w:rsidRDefault="00000000">
            <w:pPr>
              <w:keepNext/>
              <w:keepLines/>
              <w:spacing w:after="0" w:line="240" w:lineRule="auto"/>
              <w:jc w:val="right"/>
            </w:pPr>
            <w:r>
              <w:rPr>
                <w:sz w:val="18"/>
              </w:rPr>
              <w:t>1.099.021,70</w:t>
            </w:r>
          </w:p>
        </w:tc>
        <w:tc>
          <w:tcPr>
            <w:tcW w:w="1860" w:type="dxa"/>
            <w:tcMar>
              <w:top w:w="0" w:type="dxa"/>
              <w:bottom w:w="0" w:type="dxa"/>
            </w:tcMar>
            <w:vAlign w:val="center"/>
          </w:tcPr>
          <w:p w14:paraId="5BD155DA" w14:textId="77777777" w:rsidR="00C2797B" w:rsidRDefault="00000000">
            <w:pPr>
              <w:keepNext/>
              <w:keepLines/>
              <w:spacing w:after="0" w:line="240" w:lineRule="auto"/>
              <w:jc w:val="right"/>
            </w:pPr>
            <w:r>
              <w:rPr>
                <w:sz w:val="18"/>
              </w:rPr>
              <w:t>1.157.976,15</w:t>
            </w:r>
          </w:p>
        </w:tc>
        <w:tc>
          <w:tcPr>
            <w:tcW w:w="700" w:type="dxa"/>
            <w:tcMar>
              <w:top w:w="0" w:type="dxa"/>
              <w:bottom w:w="0" w:type="dxa"/>
            </w:tcMar>
            <w:vAlign w:val="center"/>
          </w:tcPr>
          <w:p w14:paraId="08D770AE" w14:textId="77777777" w:rsidR="00C2797B" w:rsidRDefault="00000000">
            <w:pPr>
              <w:keepNext/>
              <w:keepLines/>
              <w:spacing w:after="0" w:line="240" w:lineRule="auto"/>
              <w:jc w:val="right"/>
            </w:pPr>
            <w:r>
              <w:rPr>
                <w:sz w:val="18"/>
              </w:rPr>
              <w:t>105,4</w:t>
            </w:r>
          </w:p>
        </w:tc>
      </w:tr>
      <w:tr w:rsidR="00C2797B" w14:paraId="4F41FF86" w14:textId="77777777">
        <w:tblPrEx>
          <w:tblCellMar>
            <w:top w:w="0" w:type="dxa"/>
            <w:bottom w:w="0" w:type="dxa"/>
          </w:tblCellMar>
        </w:tblPrEx>
        <w:trPr>
          <w:cantSplit/>
          <w:trHeight w:val="560"/>
        </w:trPr>
        <w:tc>
          <w:tcPr>
            <w:tcW w:w="700" w:type="dxa"/>
            <w:tcMar>
              <w:top w:w="0" w:type="dxa"/>
              <w:bottom w:w="0" w:type="dxa"/>
            </w:tcMar>
            <w:vAlign w:val="center"/>
          </w:tcPr>
          <w:p w14:paraId="460E0B6A" w14:textId="77777777" w:rsidR="00C2797B" w:rsidRDefault="00C2797B">
            <w:pPr>
              <w:keepNext/>
              <w:keepLines/>
              <w:spacing w:after="0" w:line="240" w:lineRule="auto"/>
            </w:pPr>
          </w:p>
        </w:tc>
        <w:tc>
          <w:tcPr>
            <w:tcW w:w="3180" w:type="dxa"/>
            <w:tcMar>
              <w:top w:w="0" w:type="dxa"/>
              <w:bottom w:w="0" w:type="dxa"/>
            </w:tcMar>
            <w:vAlign w:val="center"/>
          </w:tcPr>
          <w:p w14:paraId="23D8BE92" w14:textId="77777777" w:rsidR="00C2797B"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D13B171" w14:textId="77777777" w:rsidR="00C2797B" w:rsidRDefault="00000000">
            <w:pPr>
              <w:keepNext/>
              <w:keepLines/>
              <w:spacing w:after="0" w:line="240" w:lineRule="auto"/>
            </w:pPr>
            <w:r>
              <w:rPr>
                <w:b/>
                <w:sz w:val="18"/>
              </w:rPr>
              <w:t>X001</w:t>
            </w:r>
          </w:p>
        </w:tc>
        <w:tc>
          <w:tcPr>
            <w:tcW w:w="1860" w:type="dxa"/>
            <w:tcMar>
              <w:top w:w="0" w:type="dxa"/>
              <w:bottom w:w="0" w:type="dxa"/>
            </w:tcMar>
            <w:vAlign w:val="center"/>
          </w:tcPr>
          <w:p w14:paraId="078B240E" w14:textId="77777777" w:rsidR="00C2797B" w:rsidRDefault="00000000">
            <w:pPr>
              <w:keepNext/>
              <w:keepLines/>
              <w:spacing w:after="0" w:line="240" w:lineRule="auto"/>
              <w:jc w:val="right"/>
            </w:pPr>
            <w:r>
              <w:rPr>
                <w:b/>
                <w:sz w:val="18"/>
              </w:rPr>
              <w:t>128.175,05</w:t>
            </w:r>
          </w:p>
        </w:tc>
        <w:tc>
          <w:tcPr>
            <w:tcW w:w="1860" w:type="dxa"/>
            <w:tcMar>
              <w:top w:w="0" w:type="dxa"/>
              <w:bottom w:w="0" w:type="dxa"/>
            </w:tcMar>
            <w:vAlign w:val="center"/>
          </w:tcPr>
          <w:p w14:paraId="7FF2E50E" w14:textId="77777777" w:rsidR="00C2797B" w:rsidRDefault="00000000">
            <w:pPr>
              <w:keepNext/>
              <w:keepLines/>
              <w:spacing w:after="0" w:line="240" w:lineRule="auto"/>
              <w:jc w:val="right"/>
            </w:pPr>
            <w:r>
              <w:rPr>
                <w:b/>
                <w:sz w:val="18"/>
              </w:rPr>
              <w:t>148.047,97</w:t>
            </w:r>
          </w:p>
        </w:tc>
        <w:tc>
          <w:tcPr>
            <w:tcW w:w="700" w:type="dxa"/>
            <w:tcMar>
              <w:top w:w="0" w:type="dxa"/>
              <w:bottom w:w="0" w:type="dxa"/>
            </w:tcMar>
            <w:vAlign w:val="center"/>
          </w:tcPr>
          <w:p w14:paraId="244A3E3A" w14:textId="77777777" w:rsidR="00C2797B" w:rsidRDefault="00000000">
            <w:pPr>
              <w:keepNext/>
              <w:keepLines/>
              <w:spacing w:after="0" w:line="240" w:lineRule="auto"/>
              <w:jc w:val="right"/>
            </w:pPr>
            <w:r>
              <w:rPr>
                <w:b/>
                <w:sz w:val="18"/>
              </w:rPr>
              <w:t>115,5</w:t>
            </w:r>
          </w:p>
        </w:tc>
      </w:tr>
      <w:tr w:rsidR="00C2797B" w14:paraId="7CDEC15B" w14:textId="77777777">
        <w:tblPrEx>
          <w:tblCellMar>
            <w:top w:w="0" w:type="dxa"/>
            <w:bottom w:w="0" w:type="dxa"/>
          </w:tblCellMar>
        </w:tblPrEx>
        <w:trPr>
          <w:cantSplit/>
          <w:trHeight w:val="560"/>
        </w:trPr>
        <w:tc>
          <w:tcPr>
            <w:tcW w:w="700" w:type="dxa"/>
            <w:tcMar>
              <w:top w:w="0" w:type="dxa"/>
              <w:bottom w:w="0" w:type="dxa"/>
            </w:tcMar>
            <w:vAlign w:val="center"/>
          </w:tcPr>
          <w:p w14:paraId="31F4AA52" w14:textId="77777777" w:rsidR="00C2797B" w:rsidRDefault="00000000">
            <w:pPr>
              <w:keepNext/>
              <w:keepLines/>
              <w:spacing w:after="0" w:line="240" w:lineRule="auto"/>
            </w:pPr>
            <w:r>
              <w:rPr>
                <w:sz w:val="18"/>
              </w:rPr>
              <w:t>7</w:t>
            </w:r>
          </w:p>
        </w:tc>
        <w:tc>
          <w:tcPr>
            <w:tcW w:w="3180" w:type="dxa"/>
            <w:tcMar>
              <w:top w:w="0" w:type="dxa"/>
              <w:bottom w:w="0" w:type="dxa"/>
            </w:tcMar>
            <w:vAlign w:val="center"/>
          </w:tcPr>
          <w:p w14:paraId="1236E22F" w14:textId="77777777" w:rsidR="00C2797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E8FE91C" w14:textId="77777777" w:rsidR="00C2797B" w:rsidRDefault="00000000">
            <w:pPr>
              <w:keepNext/>
              <w:keepLines/>
              <w:spacing w:after="0" w:line="240" w:lineRule="auto"/>
            </w:pPr>
            <w:r>
              <w:rPr>
                <w:sz w:val="18"/>
              </w:rPr>
              <w:t>7</w:t>
            </w:r>
          </w:p>
        </w:tc>
        <w:tc>
          <w:tcPr>
            <w:tcW w:w="1860" w:type="dxa"/>
            <w:tcMar>
              <w:top w:w="0" w:type="dxa"/>
              <w:bottom w:w="0" w:type="dxa"/>
            </w:tcMar>
            <w:vAlign w:val="center"/>
          </w:tcPr>
          <w:p w14:paraId="51EEAE50" w14:textId="77777777" w:rsidR="00C2797B" w:rsidRDefault="00000000">
            <w:pPr>
              <w:keepNext/>
              <w:keepLines/>
              <w:spacing w:after="0" w:line="240" w:lineRule="auto"/>
              <w:jc w:val="right"/>
            </w:pPr>
            <w:r>
              <w:rPr>
                <w:sz w:val="18"/>
              </w:rPr>
              <w:t>220,69</w:t>
            </w:r>
          </w:p>
        </w:tc>
        <w:tc>
          <w:tcPr>
            <w:tcW w:w="1860" w:type="dxa"/>
            <w:tcMar>
              <w:top w:w="0" w:type="dxa"/>
              <w:bottom w:w="0" w:type="dxa"/>
            </w:tcMar>
            <w:vAlign w:val="center"/>
          </w:tcPr>
          <w:p w14:paraId="4CA2166B" w14:textId="77777777" w:rsidR="00C2797B" w:rsidRDefault="00000000">
            <w:pPr>
              <w:keepNext/>
              <w:keepLines/>
              <w:spacing w:after="0" w:line="240" w:lineRule="auto"/>
              <w:jc w:val="right"/>
            </w:pPr>
            <w:r>
              <w:rPr>
                <w:sz w:val="18"/>
              </w:rPr>
              <w:t>4.789,22</w:t>
            </w:r>
          </w:p>
        </w:tc>
        <w:tc>
          <w:tcPr>
            <w:tcW w:w="700" w:type="dxa"/>
            <w:tcMar>
              <w:top w:w="0" w:type="dxa"/>
              <w:bottom w:w="0" w:type="dxa"/>
            </w:tcMar>
            <w:vAlign w:val="center"/>
          </w:tcPr>
          <w:p w14:paraId="0142DB2B" w14:textId="77777777" w:rsidR="00C2797B" w:rsidRDefault="00000000">
            <w:pPr>
              <w:keepNext/>
              <w:keepLines/>
              <w:spacing w:after="0" w:line="240" w:lineRule="auto"/>
              <w:jc w:val="right"/>
            </w:pPr>
            <w:r>
              <w:rPr>
                <w:sz w:val="18"/>
              </w:rPr>
              <w:t>2170,1</w:t>
            </w:r>
          </w:p>
        </w:tc>
      </w:tr>
      <w:tr w:rsidR="00C2797B" w14:paraId="1B0F7C17" w14:textId="77777777">
        <w:tblPrEx>
          <w:tblCellMar>
            <w:top w:w="0" w:type="dxa"/>
            <w:bottom w:w="0" w:type="dxa"/>
          </w:tblCellMar>
        </w:tblPrEx>
        <w:trPr>
          <w:cantSplit/>
          <w:trHeight w:val="560"/>
        </w:trPr>
        <w:tc>
          <w:tcPr>
            <w:tcW w:w="700" w:type="dxa"/>
            <w:tcMar>
              <w:top w:w="0" w:type="dxa"/>
              <w:bottom w:w="0" w:type="dxa"/>
            </w:tcMar>
            <w:vAlign w:val="center"/>
          </w:tcPr>
          <w:p w14:paraId="08ACBDDE" w14:textId="77777777" w:rsidR="00C2797B" w:rsidRDefault="00000000">
            <w:pPr>
              <w:keepNext/>
              <w:keepLines/>
              <w:spacing w:after="0" w:line="240" w:lineRule="auto"/>
            </w:pPr>
            <w:r>
              <w:rPr>
                <w:sz w:val="18"/>
              </w:rPr>
              <w:t>4</w:t>
            </w:r>
          </w:p>
        </w:tc>
        <w:tc>
          <w:tcPr>
            <w:tcW w:w="3180" w:type="dxa"/>
            <w:tcMar>
              <w:top w:w="0" w:type="dxa"/>
              <w:bottom w:w="0" w:type="dxa"/>
            </w:tcMar>
            <w:vAlign w:val="center"/>
          </w:tcPr>
          <w:p w14:paraId="65FCABC3" w14:textId="77777777" w:rsidR="00C2797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95647EF" w14:textId="77777777" w:rsidR="00C2797B" w:rsidRDefault="00000000">
            <w:pPr>
              <w:keepNext/>
              <w:keepLines/>
              <w:spacing w:after="0" w:line="240" w:lineRule="auto"/>
            </w:pPr>
            <w:r>
              <w:rPr>
                <w:sz w:val="18"/>
              </w:rPr>
              <w:t>4</w:t>
            </w:r>
          </w:p>
        </w:tc>
        <w:tc>
          <w:tcPr>
            <w:tcW w:w="1860" w:type="dxa"/>
            <w:tcMar>
              <w:top w:w="0" w:type="dxa"/>
              <w:bottom w:w="0" w:type="dxa"/>
            </w:tcMar>
            <w:vAlign w:val="center"/>
          </w:tcPr>
          <w:p w14:paraId="6E126B78" w14:textId="77777777" w:rsidR="00C2797B" w:rsidRDefault="00000000">
            <w:pPr>
              <w:keepNext/>
              <w:keepLines/>
              <w:spacing w:after="0" w:line="240" w:lineRule="auto"/>
              <w:jc w:val="right"/>
            </w:pPr>
            <w:r>
              <w:rPr>
                <w:sz w:val="18"/>
              </w:rPr>
              <w:t>1.116.312,18</w:t>
            </w:r>
          </w:p>
        </w:tc>
        <w:tc>
          <w:tcPr>
            <w:tcW w:w="1860" w:type="dxa"/>
            <w:tcMar>
              <w:top w:w="0" w:type="dxa"/>
              <w:bottom w:w="0" w:type="dxa"/>
            </w:tcMar>
            <w:vAlign w:val="center"/>
          </w:tcPr>
          <w:p w14:paraId="53B1DE04" w14:textId="77777777" w:rsidR="00C2797B" w:rsidRDefault="00000000">
            <w:pPr>
              <w:keepNext/>
              <w:keepLines/>
              <w:spacing w:after="0" w:line="240" w:lineRule="auto"/>
              <w:jc w:val="right"/>
            </w:pPr>
            <w:r>
              <w:rPr>
                <w:sz w:val="18"/>
              </w:rPr>
              <w:t>110.266,94</w:t>
            </w:r>
          </w:p>
        </w:tc>
        <w:tc>
          <w:tcPr>
            <w:tcW w:w="700" w:type="dxa"/>
            <w:tcMar>
              <w:top w:w="0" w:type="dxa"/>
              <w:bottom w:w="0" w:type="dxa"/>
            </w:tcMar>
            <w:vAlign w:val="center"/>
          </w:tcPr>
          <w:p w14:paraId="699F305E" w14:textId="77777777" w:rsidR="00C2797B" w:rsidRDefault="00000000">
            <w:pPr>
              <w:keepNext/>
              <w:keepLines/>
              <w:spacing w:after="0" w:line="240" w:lineRule="auto"/>
              <w:jc w:val="right"/>
            </w:pPr>
            <w:r>
              <w:rPr>
                <w:sz w:val="18"/>
              </w:rPr>
              <w:t>9,9</w:t>
            </w:r>
          </w:p>
        </w:tc>
      </w:tr>
      <w:tr w:rsidR="00C2797B" w14:paraId="48486E53" w14:textId="77777777">
        <w:tblPrEx>
          <w:tblCellMar>
            <w:top w:w="0" w:type="dxa"/>
            <w:bottom w:w="0" w:type="dxa"/>
          </w:tblCellMar>
        </w:tblPrEx>
        <w:trPr>
          <w:cantSplit/>
          <w:trHeight w:val="560"/>
        </w:trPr>
        <w:tc>
          <w:tcPr>
            <w:tcW w:w="700" w:type="dxa"/>
            <w:tcMar>
              <w:top w:w="0" w:type="dxa"/>
              <w:bottom w:w="0" w:type="dxa"/>
            </w:tcMar>
            <w:vAlign w:val="center"/>
          </w:tcPr>
          <w:p w14:paraId="3C182E16" w14:textId="77777777" w:rsidR="00C2797B" w:rsidRDefault="00C2797B">
            <w:pPr>
              <w:keepNext/>
              <w:keepLines/>
              <w:spacing w:after="0" w:line="240" w:lineRule="auto"/>
            </w:pPr>
          </w:p>
        </w:tc>
        <w:tc>
          <w:tcPr>
            <w:tcW w:w="3180" w:type="dxa"/>
            <w:tcMar>
              <w:top w:w="0" w:type="dxa"/>
              <w:bottom w:w="0" w:type="dxa"/>
            </w:tcMar>
            <w:vAlign w:val="center"/>
          </w:tcPr>
          <w:p w14:paraId="06ACD085" w14:textId="77777777" w:rsidR="00C2797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EC83F95" w14:textId="77777777" w:rsidR="00C2797B" w:rsidRDefault="00000000">
            <w:pPr>
              <w:keepNext/>
              <w:keepLines/>
              <w:spacing w:after="0" w:line="240" w:lineRule="auto"/>
            </w:pPr>
            <w:r>
              <w:rPr>
                <w:b/>
                <w:sz w:val="18"/>
              </w:rPr>
              <w:t>Y002</w:t>
            </w:r>
          </w:p>
        </w:tc>
        <w:tc>
          <w:tcPr>
            <w:tcW w:w="1860" w:type="dxa"/>
            <w:tcMar>
              <w:top w:w="0" w:type="dxa"/>
              <w:bottom w:w="0" w:type="dxa"/>
            </w:tcMar>
            <w:vAlign w:val="center"/>
          </w:tcPr>
          <w:p w14:paraId="533BF29F" w14:textId="77777777" w:rsidR="00C2797B" w:rsidRDefault="00000000">
            <w:pPr>
              <w:keepNext/>
              <w:keepLines/>
              <w:spacing w:after="0" w:line="240" w:lineRule="auto"/>
              <w:jc w:val="right"/>
            </w:pPr>
            <w:r>
              <w:rPr>
                <w:b/>
                <w:sz w:val="18"/>
              </w:rPr>
              <w:t>1.116.091,49</w:t>
            </w:r>
          </w:p>
        </w:tc>
        <w:tc>
          <w:tcPr>
            <w:tcW w:w="1860" w:type="dxa"/>
            <w:tcMar>
              <w:top w:w="0" w:type="dxa"/>
              <w:bottom w:w="0" w:type="dxa"/>
            </w:tcMar>
            <w:vAlign w:val="center"/>
          </w:tcPr>
          <w:p w14:paraId="3DD7A025" w14:textId="77777777" w:rsidR="00C2797B" w:rsidRDefault="00000000">
            <w:pPr>
              <w:keepNext/>
              <w:keepLines/>
              <w:spacing w:after="0" w:line="240" w:lineRule="auto"/>
              <w:jc w:val="right"/>
            </w:pPr>
            <w:r>
              <w:rPr>
                <w:b/>
                <w:sz w:val="18"/>
              </w:rPr>
              <w:t>105.477,72</w:t>
            </w:r>
          </w:p>
        </w:tc>
        <w:tc>
          <w:tcPr>
            <w:tcW w:w="700" w:type="dxa"/>
            <w:tcMar>
              <w:top w:w="0" w:type="dxa"/>
              <w:bottom w:w="0" w:type="dxa"/>
            </w:tcMar>
            <w:vAlign w:val="center"/>
          </w:tcPr>
          <w:p w14:paraId="142771E1" w14:textId="77777777" w:rsidR="00C2797B" w:rsidRDefault="00000000">
            <w:pPr>
              <w:keepNext/>
              <w:keepLines/>
              <w:spacing w:after="0" w:line="240" w:lineRule="auto"/>
              <w:jc w:val="right"/>
            </w:pPr>
            <w:r>
              <w:rPr>
                <w:b/>
                <w:sz w:val="18"/>
              </w:rPr>
              <w:t>9,5</w:t>
            </w:r>
          </w:p>
        </w:tc>
      </w:tr>
      <w:tr w:rsidR="00C2797B" w14:paraId="5B65D911" w14:textId="77777777">
        <w:tblPrEx>
          <w:tblCellMar>
            <w:top w:w="0" w:type="dxa"/>
            <w:bottom w:w="0" w:type="dxa"/>
          </w:tblCellMar>
        </w:tblPrEx>
        <w:trPr>
          <w:cantSplit/>
          <w:trHeight w:val="560"/>
        </w:trPr>
        <w:tc>
          <w:tcPr>
            <w:tcW w:w="700" w:type="dxa"/>
            <w:tcMar>
              <w:top w:w="0" w:type="dxa"/>
              <w:bottom w:w="0" w:type="dxa"/>
            </w:tcMar>
            <w:vAlign w:val="center"/>
          </w:tcPr>
          <w:p w14:paraId="1DBD38BA" w14:textId="77777777" w:rsidR="00C2797B" w:rsidRDefault="00000000">
            <w:pPr>
              <w:keepNext/>
              <w:keepLines/>
              <w:spacing w:after="0" w:line="240" w:lineRule="auto"/>
            </w:pPr>
            <w:r>
              <w:rPr>
                <w:sz w:val="18"/>
              </w:rPr>
              <w:t>8</w:t>
            </w:r>
          </w:p>
        </w:tc>
        <w:tc>
          <w:tcPr>
            <w:tcW w:w="3180" w:type="dxa"/>
            <w:tcMar>
              <w:top w:w="0" w:type="dxa"/>
              <w:bottom w:w="0" w:type="dxa"/>
            </w:tcMar>
            <w:vAlign w:val="center"/>
          </w:tcPr>
          <w:p w14:paraId="7F35F17D" w14:textId="77777777" w:rsidR="00C2797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37E31E9" w14:textId="77777777" w:rsidR="00C2797B" w:rsidRDefault="00000000">
            <w:pPr>
              <w:keepNext/>
              <w:keepLines/>
              <w:spacing w:after="0" w:line="240" w:lineRule="auto"/>
            </w:pPr>
            <w:r>
              <w:rPr>
                <w:sz w:val="18"/>
              </w:rPr>
              <w:t>8</w:t>
            </w:r>
          </w:p>
        </w:tc>
        <w:tc>
          <w:tcPr>
            <w:tcW w:w="1860" w:type="dxa"/>
            <w:tcMar>
              <w:top w:w="0" w:type="dxa"/>
              <w:bottom w:w="0" w:type="dxa"/>
            </w:tcMar>
            <w:vAlign w:val="center"/>
          </w:tcPr>
          <w:p w14:paraId="2B4D87E5" w14:textId="77777777" w:rsidR="00C2797B" w:rsidRDefault="00000000">
            <w:pPr>
              <w:keepNext/>
              <w:keepLines/>
              <w:spacing w:after="0" w:line="240" w:lineRule="auto"/>
              <w:jc w:val="right"/>
            </w:pPr>
            <w:r>
              <w:rPr>
                <w:sz w:val="18"/>
              </w:rPr>
              <w:t>0,00</w:t>
            </w:r>
          </w:p>
        </w:tc>
        <w:tc>
          <w:tcPr>
            <w:tcW w:w="1860" w:type="dxa"/>
            <w:tcMar>
              <w:top w:w="0" w:type="dxa"/>
              <w:bottom w:w="0" w:type="dxa"/>
            </w:tcMar>
            <w:vAlign w:val="center"/>
          </w:tcPr>
          <w:p w14:paraId="58632445" w14:textId="77777777" w:rsidR="00C2797B" w:rsidRDefault="00000000">
            <w:pPr>
              <w:keepNext/>
              <w:keepLines/>
              <w:spacing w:after="0" w:line="240" w:lineRule="auto"/>
              <w:jc w:val="right"/>
            </w:pPr>
            <w:r>
              <w:rPr>
                <w:sz w:val="18"/>
              </w:rPr>
              <w:t>0,00</w:t>
            </w:r>
          </w:p>
        </w:tc>
        <w:tc>
          <w:tcPr>
            <w:tcW w:w="700" w:type="dxa"/>
            <w:tcMar>
              <w:top w:w="0" w:type="dxa"/>
              <w:bottom w:w="0" w:type="dxa"/>
            </w:tcMar>
            <w:vAlign w:val="center"/>
          </w:tcPr>
          <w:p w14:paraId="6E73613A" w14:textId="77777777" w:rsidR="00C2797B" w:rsidRDefault="00000000">
            <w:pPr>
              <w:keepNext/>
              <w:keepLines/>
              <w:spacing w:after="0" w:line="240" w:lineRule="auto"/>
              <w:jc w:val="right"/>
            </w:pPr>
            <w:r>
              <w:rPr>
                <w:sz w:val="18"/>
              </w:rPr>
              <w:t>-</w:t>
            </w:r>
          </w:p>
        </w:tc>
      </w:tr>
      <w:tr w:rsidR="00C2797B" w14:paraId="39C1D8A6" w14:textId="77777777">
        <w:tblPrEx>
          <w:tblCellMar>
            <w:top w:w="0" w:type="dxa"/>
            <w:bottom w:w="0" w:type="dxa"/>
          </w:tblCellMar>
        </w:tblPrEx>
        <w:trPr>
          <w:cantSplit/>
          <w:trHeight w:val="560"/>
        </w:trPr>
        <w:tc>
          <w:tcPr>
            <w:tcW w:w="700" w:type="dxa"/>
            <w:tcMar>
              <w:top w:w="0" w:type="dxa"/>
              <w:bottom w:w="0" w:type="dxa"/>
            </w:tcMar>
            <w:vAlign w:val="center"/>
          </w:tcPr>
          <w:p w14:paraId="6D4549B3" w14:textId="77777777" w:rsidR="00C2797B" w:rsidRDefault="00000000">
            <w:pPr>
              <w:keepNext/>
              <w:keepLines/>
              <w:spacing w:after="0" w:line="240" w:lineRule="auto"/>
            </w:pPr>
            <w:r>
              <w:rPr>
                <w:sz w:val="18"/>
              </w:rPr>
              <w:t>5</w:t>
            </w:r>
          </w:p>
        </w:tc>
        <w:tc>
          <w:tcPr>
            <w:tcW w:w="3180" w:type="dxa"/>
            <w:tcMar>
              <w:top w:w="0" w:type="dxa"/>
              <w:bottom w:w="0" w:type="dxa"/>
            </w:tcMar>
            <w:vAlign w:val="center"/>
          </w:tcPr>
          <w:p w14:paraId="162940C8" w14:textId="77777777" w:rsidR="00C2797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7A6E9BC" w14:textId="77777777" w:rsidR="00C2797B" w:rsidRDefault="00000000">
            <w:pPr>
              <w:keepNext/>
              <w:keepLines/>
              <w:spacing w:after="0" w:line="240" w:lineRule="auto"/>
            </w:pPr>
            <w:r>
              <w:rPr>
                <w:sz w:val="18"/>
              </w:rPr>
              <w:t>5</w:t>
            </w:r>
          </w:p>
        </w:tc>
        <w:tc>
          <w:tcPr>
            <w:tcW w:w="1860" w:type="dxa"/>
            <w:tcMar>
              <w:top w:w="0" w:type="dxa"/>
              <w:bottom w:w="0" w:type="dxa"/>
            </w:tcMar>
            <w:vAlign w:val="center"/>
          </w:tcPr>
          <w:p w14:paraId="6961AA29" w14:textId="77777777" w:rsidR="00C2797B" w:rsidRDefault="00000000">
            <w:pPr>
              <w:keepNext/>
              <w:keepLines/>
              <w:spacing w:after="0" w:line="240" w:lineRule="auto"/>
              <w:jc w:val="right"/>
            </w:pPr>
            <w:r>
              <w:rPr>
                <w:sz w:val="18"/>
              </w:rPr>
              <w:t>19.677,38</w:t>
            </w:r>
          </w:p>
        </w:tc>
        <w:tc>
          <w:tcPr>
            <w:tcW w:w="1860" w:type="dxa"/>
            <w:tcMar>
              <w:top w:w="0" w:type="dxa"/>
              <w:bottom w:w="0" w:type="dxa"/>
            </w:tcMar>
            <w:vAlign w:val="center"/>
          </w:tcPr>
          <w:p w14:paraId="62C9D111" w14:textId="77777777" w:rsidR="00C2797B" w:rsidRDefault="00000000">
            <w:pPr>
              <w:keepNext/>
              <w:keepLines/>
              <w:spacing w:after="0" w:line="240" w:lineRule="auto"/>
              <w:jc w:val="right"/>
            </w:pPr>
            <w:r>
              <w:rPr>
                <w:sz w:val="18"/>
              </w:rPr>
              <w:t>19.677,38</w:t>
            </w:r>
          </w:p>
        </w:tc>
        <w:tc>
          <w:tcPr>
            <w:tcW w:w="700" w:type="dxa"/>
            <w:tcMar>
              <w:top w:w="0" w:type="dxa"/>
              <w:bottom w:w="0" w:type="dxa"/>
            </w:tcMar>
            <w:vAlign w:val="center"/>
          </w:tcPr>
          <w:p w14:paraId="736661C6" w14:textId="77777777" w:rsidR="00C2797B" w:rsidRDefault="00000000">
            <w:pPr>
              <w:keepNext/>
              <w:keepLines/>
              <w:spacing w:after="0" w:line="240" w:lineRule="auto"/>
              <w:jc w:val="right"/>
            </w:pPr>
            <w:r>
              <w:rPr>
                <w:sz w:val="18"/>
              </w:rPr>
              <w:t>100</w:t>
            </w:r>
          </w:p>
        </w:tc>
      </w:tr>
      <w:tr w:rsidR="00C2797B" w14:paraId="6A660744" w14:textId="77777777">
        <w:tblPrEx>
          <w:tblCellMar>
            <w:top w:w="0" w:type="dxa"/>
            <w:bottom w:w="0" w:type="dxa"/>
          </w:tblCellMar>
        </w:tblPrEx>
        <w:trPr>
          <w:cantSplit/>
          <w:trHeight w:val="560"/>
        </w:trPr>
        <w:tc>
          <w:tcPr>
            <w:tcW w:w="700" w:type="dxa"/>
            <w:tcMar>
              <w:top w:w="0" w:type="dxa"/>
              <w:bottom w:w="0" w:type="dxa"/>
            </w:tcMar>
            <w:vAlign w:val="center"/>
          </w:tcPr>
          <w:p w14:paraId="5CA12B8C" w14:textId="77777777" w:rsidR="00C2797B" w:rsidRDefault="00C2797B">
            <w:pPr>
              <w:keepNext/>
              <w:keepLines/>
              <w:spacing w:after="0" w:line="240" w:lineRule="auto"/>
            </w:pPr>
          </w:p>
        </w:tc>
        <w:tc>
          <w:tcPr>
            <w:tcW w:w="3180" w:type="dxa"/>
            <w:tcMar>
              <w:top w:w="0" w:type="dxa"/>
              <w:bottom w:w="0" w:type="dxa"/>
            </w:tcMar>
            <w:vAlign w:val="center"/>
          </w:tcPr>
          <w:p w14:paraId="2E10927F" w14:textId="77777777" w:rsidR="00C2797B"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4CD0D68C" w14:textId="77777777" w:rsidR="00C2797B" w:rsidRDefault="00000000">
            <w:pPr>
              <w:keepNext/>
              <w:keepLines/>
              <w:spacing w:after="0" w:line="240" w:lineRule="auto"/>
            </w:pPr>
            <w:r>
              <w:rPr>
                <w:b/>
                <w:sz w:val="18"/>
              </w:rPr>
              <w:t>Y003</w:t>
            </w:r>
          </w:p>
        </w:tc>
        <w:tc>
          <w:tcPr>
            <w:tcW w:w="1860" w:type="dxa"/>
            <w:tcMar>
              <w:top w:w="0" w:type="dxa"/>
              <w:bottom w:w="0" w:type="dxa"/>
            </w:tcMar>
            <w:vAlign w:val="center"/>
          </w:tcPr>
          <w:p w14:paraId="02C38C7C" w14:textId="77777777" w:rsidR="00C2797B" w:rsidRDefault="00000000">
            <w:pPr>
              <w:keepNext/>
              <w:keepLines/>
              <w:spacing w:after="0" w:line="240" w:lineRule="auto"/>
              <w:jc w:val="right"/>
            </w:pPr>
            <w:r>
              <w:rPr>
                <w:b/>
                <w:sz w:val="18"/>
              </w:rPr>
              <w:t>19.677,38</w:t>
            </w:r>
          </w:p>
        </w:tc>
        <w:tc>
          <w:tcPr>
            <w:tcW w:w="1860" w:type="dxa"/>
            <w:tcMar>
              <w:top w:w="0" w:type="dxa"/>
              <w:bottom w:w="0" w:type="dxa"/>
            </w:tcMar>
            <w:vAlign w:val="center"/>
          </w:tcPr>
          <w:p w14:paraId="22F1196F" w14:textId="77777777" w:rsidR="00C2797B" w:rsidRDefault="00000000">
            <w:pPr>
              <w:keepNext/>
              <w:keepLines/>
              <w:spacing w:after="0" w:line="240" w:lineRule="auto"/>
              <w:jc w:val="right"/>
            </w:pPr>
            <w:r>
              <w:rPr>
                <w:b/>
                <w:sz w:val="18"/>
              </w:rPr>
              <w:t>19.677,38</w:t>
            </w:r>
          </w:p>
        </w:tc>
        <w:tc>
          <w:tcPr>
            <w:tcW w:w="700" w:type="dxa"/>
            <w:tcMar>
              <w:top w:w="0" w:type="dxa"/>
              <w:bottom w:w="0" w:type="dxa"/>
            </w:tcMar>
            <w:vAlign w:val="center"/>
          </w:tcPr>
          <w:p w14:paraId="16698D7F" w14:textId="77777777" w:rsidR="00C2797B" w:rsidRDefault="00000000">
            <w:pPr>
              <w:keepNext/>
              <w:keepLines/>
              <w:spacing w:after="0" w:line="240" w:lineRule="auto"/>
              <w:jc w:val="right"/>
            </w:pPr>
            <w:r>
              <w:rPr>
                <w:b/>
                <w:sz w:val="18"/>
              </w:rPr>
              <w:t>100</w:t>
            </w:r>
          </w:p>
        </w:tc>
      </w:tr>
      <w:tr w:rsidR="00C2797B" w14:paraId="03D53358" w14:textId="77777777">
        <w:tblPrEx>
          <w:tblCellMar>
            <w:top w:w="0" w:type="dxa"/>
            <w:bottom w:w="0" w:type="dxa"/>
          </w:tblCellMar>
        </w:tblPrEx>
        <w:trPr>
          <w:cantSplit/>
          <w:trHeight w:val="560"/>
        </w:trPr>
        <w:tc>
          <w:tcPr>
            <w:tcW w:w="700" w:type="dxa"/>
            <w:tcMar>
              <w:top w:w="0" w:type="dxa"/>
              <w:bottom w:w="0" w:type="dxa"/>
            </w:tcMar>
            <w:vAlign w:val="center"/>
          </w:tcPr>
          <w:p w14:paraId="6731BC81" w14:textId="77777777" w:rsidR="00C2797B" w:rsidRDefault="00C2797B">
            <w:pPr>
              <w:keepNext/>
              <w:keepLines/>
              <w:spacing w:after="0" w:line="240" w:lineRule="auto"/>
            </w:pPr>
          </w:p>
        </w:tc>
        <w:tc>
          <w:tcPr>
            <w:tcW w:w="3180" w:type="dxa"/>
            <w:tcMar>
              <w:top w:w="0" w:type="dxa"/>
              <w:bottom w:w="0" w:type="dxa"/>
            </w:tcMar>
            <w:vAlign w:val="center"/>
          </w:tcPr>
          <w:p w14:paraId="7A1983EA" w14:textId="77777777" w:rsidR="00C2797B"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FE6AD28" w14:textId="77777777" w:rsidR="00C2797B" w:rsidRDefault="00000000">
            <w:pPr>
              <w:keepNext/>
              <w:keepLines/>
              <w:spacing w:after="0" w:line="240" w:lineRule="auto"/>
            </w:pPr>
            <w:r>
              <w:rPr>
                <w:b/>
                <w:sz w:val="18"/>
              </w:rPr>
              <w:t>X005</w:t>
            </w:r>
          </w:p>
        </w:tc>
        <w:tc>
          <w:tcPr>
            <w:tcW w:w="1860" w:type="dxa"/>
            <w:tcMar>
              <w:top w:w="0" w:type="dxa"/>
              <w:bottom w:w="0" w:type="dxa"/>
            </w:tcMar>
            <w:vAlign w:val="center"/>
          </w:tcPr>
          <w:p w14:paraId="0F8DA8D5" w14:textId="77777777" w:rsidR="00C2797B" w:rsidRDefault="00000000">
            <w:pPr>
              <w:keepNext/>
              <w:keepLines/>
              <w:spacing w:after="0" w:line="240" w:lineRule="auto"/>
              <w:jc w:val="right"/>
            </w:pPr>
            <w:r>
              <w:rPr>
                <w:b/>
                <w:sz w:val="18"/>
              </w:rPr>
              <w:t>0,00</w:t>
            </w:r>
          </w:p>
        </w:tc>
        <w:tc>
          <w:tcPr>
            <w:tcW w:w="1860" w:type="dxa"/>
            <w:tcMar>
              <w:top w:w="0" w:type="dxa"/>
              <w:bottom w:w="0" w:type="dxa"/>
            </w:tcMar>
            <w:vAlign w:val="center"/>
          </w:tcPr>
          <w:p w14:paraId="4892A9ED" w14:textId="77777777" w:rsidR="00C2797B" w:rsidRDefault="00000000">
            <w:pPr>
              <w:keepNext/>
              <w:keepLines/>
              <w:spacing w:after="0" w:line="240" w:lineRule="auto"/>
              <w:jc w:val="right"/>
            </w:pPr>
            <w:r>
              <w:rPr>
                <w:b/>
                <w:sz w:val="18"/>
              </w:rPr>
              <w:t>22.892,87</w:t>
            </w:r>
          </w:p>
        </w:tc>
        <w:tc>
          <w:tcPr>
            <w:tcW w:w="700" w:type="dxa"/>
            <w:tcMar>
              <w:top w:w="0" w:type="dxa"/>
              <w:bottom w:w="0" w:type="dxa"/>
            </w:tcMar>
            <w:vAlign w:val="center"/>
          </w:tcPr>
          <w:p w14:paraId="3D8DCBEE" w14:textId="77777777" w:rsidR="00C2797B" w:rsidRDefault="00000000">
            <w:pPr>
              <w:keepNext/>
              <w:keepLines/>
              <w:spacing w:after="0" w:line="240" w:lineRule="auto"/>
              <w:jc w:val="right"/>
            </w:pPr>
            <w:r>
              <w:rPr>
                <w:b/>
                <w:sz w:val="18"/>
              </w:rPr>
              <w:t>-</w:t>
            </w:r>
          </w:p>
        </w:tc>
      </w:tr>
    </w:tbl>
    <w:p w14:paraId="251F6E31" w14:textId="77777777" w:rsidR="00C2797B" w:rsidRDefault="00C2797B">
      <w:pPr>
        <w:spacing w:after="0"/>
      </w:pPr>
    </w:p>
    <w:p w14:paraId="41D3229F" w14:textId="77777777" w:rsidR="00C2797B" w:rsidRDefault="00000000">
      <w:r>
        <w:t>Sukladno odredbama članka 15. do članka 19. Pravilnika o financijskom izvještavanju u proračunskom računovodstvu (˝Narodne novine˝, broj 37/2022.) sastavljaju se Bilješke uz financijske izvještaje Općine Fažana za izvještajno razdoblje od 1. siječnja do 31. ožujka 2026. godine kao objašnjenje i dopuna podataka za određene stavke iz izvještaja, i to kako slijedi:  </w:t>
      </w:r>
    </w:p>
    <w:p w14:paraId="5BE3F8EA" w14:textId="77777777" w:rsidR="00C2797B" w:rsidRDefault="00000000">
      <w:r>
        <w:t>Prihodi i rashodi za razdoblje 01.01. - 31.03.2026. jesu slijedeći:</w:t>
      </w:r>
    </w:p>
    <w:p w14:paraId="53D109F7" w14:textId="77777777" w:rsidR="00C2797B" w:rsidRDefault="00000000">
      <w:pPr>
        <w:pStyle w:val="Odlomakpopisa"/>
        <w:numPr>
          <w:ilvl w:val="0"/>
          <w:numId w:val="1"/>
        </w:numPr>
      </w:pPr>
      <w:r>
        <w:lastRenderedPageBreak/>
        <w:t>Ukupni prihodi poslovanja (šifra 6) ostvareni su u izvještajnom razdoblju u iznosu od 1.306.024,12 EUR, a ukupni rashodi poslovanja (šifra 3) ostvareni su u iznosu od 1.157.976,15 EUR što je rezultiralo viškom prihoda poslovanja (šifra X001) u iznosu od 148.047,97 EUR.</w:t>
      </w:r>
    </w:p>
    <w:p w14:paraId="15782439" w14:textId="77777777" w:rsidR="00C2797B" w:rsidRDefault="00000000">
      <w:pPr>
        <w:pStyle w:val="Odlomakpopisa"/>
        <w:numPr>
          <w:ilvl w:val="0"/>
          <w:numId w:val="1"/>
        </w:numPr>
      </w:pPr>
      <w:r>
        <w:t>Dok su ukupni prihodi od prodaje nefinancijske imovine (šifra 7) realizirani u iznosu od 4.789,22 EUR, a rashodi za nabavu nefinancijske imovine (šifra 4) realizirani su u ukupnom iznosu od 110.266,94 EUR, što je rezultiralo manjkom prihoda od nefinancijske imovine (šifra Y002) u iznosu od 105.477,72 EUR.</w:t>
      </w:r>
    </w:p>
    <w:p w14:paraId="3D1249DE" w14:textId="77777777" w:rsidR="00C2797B" w:rsidRDefault="00000000">
      <w:pPr>
        <w:pStyle w:val="Odlomakpopisa"/>
        <w:numPr>
          <w:ilvl w:val="0"/>
          <w:numId w:val="1"/>
        </w:numPr>
      </w:pPr>
      <w:r>
        <w:t xml:space="preserve">Primici od financijske imovine i zaduživanja (šifra 8) nisu ostvareni u </w:t>
      </w:r>
      <w:proofErr w:type="spellStart"/>
      <w:r>
        <w:t>u</w:t>
      </w:r>
      <w:proofErr w:type="spellEnd"/>
      <w:r>
        <w:t xml:space="preserve"> izvještajnom razdoblju, dok su ukupni izdaci za financijsku imovinu i otplate zajmova (šifra 5) ostvareni u iznosu od 19.677,38 EUR, što je rezultiralo manjkom od financijske imovine i zaduživanja (šifra Y003) u iznosu od 19.677,38 EUR.</w:t>
      </w:r>
    </w:p>
    <w:p w14:paraId="01A8951B" w14:textId="77777777" w:rsidR="00C2797B" w:rsidRDefault="00000000">
      <w:pPr>
        <w:pStyle w:val="Odlomakpopisa"/>
        <w:numPr>
          <w:ilvl w:val="0"/>
          <w:numId w:val="1"/>
        </w:numPr>
      </w:pPr>
      <w:r>
        <w:t>Zaključno, na kraju izvještajnog razdoblja Općina Fažana je ostvarila višak prihoda i primitaka (šifra X005) u iznosu od 22.892,87 EUR.</w:t>
      </w:r>
    </w:p>
    <w:p w14:paraId="3B6CDCEA" w14:textId="77777777" w:rsidR="00C2797B" w:rsidRDefault="00000000">
      <w:r>
        <w:br/>
      </w:r>
    </w:p>
    <w:p w14:paraId="5A63C803" w14:textId="77777777" w:rsidR="00C2797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4234DD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FCF993"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FF581D"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E436F7"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D60D3"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182FE1"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F1B18A" w14:textId="77777777" w:rsidR="00C2797B" w:rsidRDefault="00000000">
            <w:pPr>
              <w:keepNext/>
              <w:keepLines/>
              <w:spacing w:after="0" w:line="240" w:lineRule="auto"/>
              <w:jc w:val="center"/>
            </w:pPr>
            <w:r>
              <w:rPr>
                <w:b/>
                <w:sz w:val="18"/>
              </w:rPr>
              <w:t>Indeks (%)</w:t>
            </w:r>
          </w:p>
        </w:tc>
      </w:tr>
      <w:tr w:rsidR="00C2797B" w14:paraId="5A16C3CC" w14:textId="77777777">
        <w:tblPrEx>
          <w:tblCellMar>
            <w:top w:w="0" w:type="dxa"/>
            <w:bottom w:w="0" w:type="dxa"/>
          </w:tblCellMar>
        </w:tblPrEx>
        <w:trPr>
          <w:cantSplit/>
          <w:trHeight w:val="560"/>
        </w:trPr>
        <w:tc>
          <w:tcPr>
            <w:tcW w:w="700" w:type="dxa"/>
            <w:tcMar>
              <w:top w:w="0" w:type="dxa"/>
              <w:bottom w:w="0" w:type="dxa"/>
            </w:tcMar>
            <w:vAlign w:val="center"/>
          </w:tcPr>
          <w:p w14:paraId="0111982A" w14:textId="77777777" w:rsidR="00C2797B" w:rsidRDefault="00000000">
            <w:pPr>
              <w:keepNext/>
              <w:keepLines/>
              <w:spacing w:after="0" w:line="240" w:lineRule="auto"/>
            </w:pPr>
            <w:r>
              <w:rPr>
                <w:sz w:val="18"/>
              </w:rPr>
              <w:t>6</w:t>
            </w:r>
          </w:p>
        </w:tc>
        <w:tc>
          <w:tcPr>
            <w:tcW w:w="3180" w:type="dxa"/>
            <w:tcMar>
              <w:top w:w="0" w:type="dxa"/>
              <w:bottom w:w="0" w:type="dxa"/>
            </w:tcMar>
            <w:vAlign w:val="center"/>
          </w:tcPr>
          <w:p w14:paraId="1B074592" w14:textId="77777777" w:rsidR="00C2797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104C25E" w14:textId="77777777" w:rsidR="00C2797B" w:rsidRDefault="00000000">
            <w:pPr>
              <w:keepNext/>
              <w:keepLines/>
              <w:spacing w:after="0" w:line="240" w:lineRule="auto"/>
            </w:pPr>
            <w:r>
              <w:rPr>
                <w:sz w:val="18"/>
              </w:rPr>
              <w:t>6</w:t>
            </w:r>
          </w:p>
        </w:tc>
        <w:tc>
          <w:tcPr>
            <w:tcW w:w="1860" w:type="dxa"/>
            <w:tcMar>
              <w:top w:w="0" w:type="dxa"/>
              <w:bottom w:w="0" w:type="dxa"/>
            </w:tcMar>
            <w:vAlign w:val="center"/>
          </w:tcPr>
          <w:p w14:paraId="2EA14456" w14:textId="77777777" w:rsidR="00C2797B" w:rsidRDefault="00000000">
            <w:pPr>
              <w:keepNext/>
              <w:keepLines/>
              <w:spacing w:after="0" w:line="240" w:lineRule="auto"/>
              <w:jc w:val="right"/>
            </w:pPr>
            <w:r>
              <w:rPr>
                <w:sz w:val="18"/>
              </w:rPr>
              <w:t>1.227.196,75</w:t>
            </w:r>
          </w:p>
        </w:tc>
        <w:tc>
          <w:tcPr>
            <w:tcW w:w="1860" w:type="dxa"/>
            <w:tcMar>
              <w:top w:w="0" w:type="dxa"/>
              <w:bottom w:w="0" w:type="dxa"/>
            </w:tcMar>
            <w:vAlign w:val="center"/>
          </w:tcPr>
          <w:p w14:paraId="7BC77191" w14:textId="77777777" w:rsidR="00C2797B" w:rsidRDefault="00000000">
            <w:pPr>
              <w:keepNext/>
              <w:keepLines/>
              <w:spacing w:after="0" w:line="240" w:lineRule="auto"/>
              <w:jc w:val="right"/>
            </w:pPr>
            <w:r>
              <w:rPr>
                <w:sz w:val="18"/>
              </w:rPr>
              <w:t>1.306.024,12</w:t>
            </w:r>
          </w:p>
        </w:tc>
        <w:tc>
          <w:tcPr>
            <w:tcW w:w="700" w:type="dxa"/>
            <w:tcMar>
              <w:top w:w="0" w:type="dxa"/>
              <w:bottom w:w="0" w:type="dxa"/>
            </w:tcMar>
            <w:vAlign w:val="center"/>
          </w:tcPr>
          <w:p w14:paraId="2D5CBEF7" w14:textId="77777777" w:rsidR="00C2797B" w:rsidRDefault="00000000">
            <w:pPr>
              <w:keepNext/>
              <w:keepLines/>
              <w:spacing w:after="0" w:line="240" w:lineRule="auto"/>
              <w:jc w:val="right"/>
            </w:pPr>
            <w:r>
              <w:rPr>
                <w:sz w:val="18"/>
              </w:rPr>
              <w:t>106,4</w:t>
            </w:r>
          </w:p>
        </w:tc>
      </w:tr>
    </w:tbl>
    <w:p w14:paraId="3662608C" w14:textId="77777777" w:rsidR="00C2797B" w:rsidRDefault="00C2797B">
      <w:pPr>
        <w:spacing w:after="0"/>
      </w:pPr>
    </w:p>
    <w:p w14:paraId="771EA2DD" w14:textId="77777777" w:rsidR="00C2797B" w:rsidRDefault="00000000">
      <w:r>
        <w:t>U izvještajnom razdoblju od 01.01. do 31.03.2026. ukupni prihodi poslovanja (šifra 6) Općine Fažane iznose 1.306.024,12 EUR, što je povećanje od 6,4% u odnosu na prošlu godinu za isto razdoblje, kad su iznosili 1.227.196,75 EUR.</w:t>
      </w:r>
    </w:p>
    <w:p w14:paraId="6D5AE77A" w14:textId="77777777" w:rsidR="00C2797B" w:rsidRDefault="00C2797B"/>
    <w:p w14:paraId="536F2270" w14:textId="77777777" w:rsidR="00C2797B"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5D147F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890AE9"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747FE2"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AE8E1"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4C92B"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C650C2"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151005" w14:textId="77777777" w:rsidR="00C2797B" w:rsidRDefault="00000000">
            <w:pPr>
              <w:keepNext/>
              <w:keepLines/>
              <w:spacing w:after="0" w:line="240" w:lineRule="auto"/>
              <w:jc w:val="center"/>
            </w:pPr>
            <w:r>
              <w:rPr>
                <w:b/>
                <w:sz w:val="18"/>
              </w:rPr>
              <w:t>Indeks (%)</w:t>
            </w:r>
          </w:p>
        </w:tc>
      </w:tr>
      <w:tr w:rsidR="00C2797B" w14:paraId="675BB790" w14:textId="77777777">
        <w:tblPrEx>
          <w:tblCellMar>
            <w:top w:w="0" w:type="dxa"/>
            <w:bottom w:w="0" w:type="dxa"/>
          </w:tblCellMar>
        </w:tblPrEx>
        <w:trPr>
          <w:cantSplit/>
          <w:trHeight w:val="560"/>
        </w:trPr>
        <w:tc>
          <w:tcPr>
            <w:tcW w:w="700" w:type="dxa"/>
            <w:tcMar>
              <w:top w:w="0" w:type="dxa"/>
              <w:bottom w:w="0" w:type="dxa"/>
            </w:tcMar>
            <w:vAlign w:val="center"/>
          </w:tcPr>
          <w:p w14:paraId="765C3EB7" w14:textId="77777777" w:rsidR="00C2797B" w:rsidRDefault="00000000">
            <w:pPr>
              <w:keepNext/>
              <w:keepLines/>
              <w:spacing w:after="0" w:line="240" w:lineRule="auto"/>
            </w:pPr>
            <w:r>
              <w:rPr>
                <w:sz w:val="18"/>
              </w:rPr>
              <w:t>6422</w:t>
            </w:r>
          </w:p>
        </w:tc>
        <w:tc>
          <w:tcPr>
            <w:tcW w:w="3180" w:type="dxa"/>
            <w:tcMar>
              <w:top w:w="0" w:type="dxa"/>
              <w:bottom w:w="0" w:type="dxa"/>
            </w:tcMar>
            <w:vAlign w:val="center"/>
          </w:tcPr>
          <w:p w14:paraId="4BDED682" w14:textId="77777777" w:rsidR="00C2797B"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3ED825F3" w14:textId="77777777" w:rsidR="00C2797B" w:rsidRDefault="00000000">
            <w:pPr>
              <w:keepNext/>
              <w:keepLines/>
              <w:spacing w:after="0" w:line="240" w:lineRule="auto"/>
            </w:pPr>
            <w:r>
              <w:rPr>
                <w:sz w:val="18"/>
              </w:rPr>
              <w:t>6422</w:t>
            </w:r>
          </w:p>
        </w:tc>
        <w:tc>
          <w:tcPr>
            <w:tcW w:w="1860" w:type="dxa"/>
            <w:tcMar>
              <w:top w:w="0" w:type="dxa"/>
              <w:bottom w:w="0" w:type="dxa"/>
            </w:tcMar>
            <w:vAlign w:val="center"/>
          </w:tcPr>
          <w:p w14:paraId="0534A443" w14:textId="77777777" w:rsidR="00C2797B" w:rsidRDefault="00000000">
            <w:pPr>
              <w:keepNext/>
              <w:keepLines/>
              <w:spacing w:after="0" w:line="240" w:lineRule="auto"/>
              <w:jc w:val="right"/>
            </w:pPr>
            <w:r>
              <w:rPr>
                <w:sz w:val="18"/>
              </w:rPr>
              <w:t>35.283,10</w:t>
            </w:r>
          </w:p>
        </w:tc>
        <w:tc>
          <w:tcPr>
            <w:tcW w:w="1860" w:type="dxa"/>
            <w:tcMar>
              <w:top w:w="0" w:type="dxa"/>
              <w:bottom w:w="0" w:type="dxa"/>
            </w:tcMar>
            <w:vAlign w:val="center"/>
          </w:tcPr>
          <w:p w14:paraId="4F8E4EAB" w14:textId="77777777" w:rsidR="00C2797B" w:rsidRDefault="00000000">
            <w:pPr>
              <w:keepNext/>
              <w:keepLines/>
              <w:spacing w:after="0" w:line="240" w:lineRule="auto"/>
              <w:jc w:val="right"/>
            </w:pPr>
            <w:r>
              <w:rPr>
                <w:sz w:val="18"/>
              </w:rPr>
              <w:t>59.123,50</w:t>
            </w:r>
          </w:p>
        </w:tc>
        <w:tc>
          <w:tcPr>
            <w:tcW w:w="700" w:type="dxa"/>
            <w:tcMar>
              <w:top w:w="0" w:type="dxa"/>
              <w:bottom w:w="0" w:type="dxa"/>
            </w:tcMar>
            <w:vAlign w:val="center"/>
          </w:tcPr>
          <w:p w14:paraId="216CD608" w14:textId="77777777" w:rsidR="00C2797B" w:rsidRDefault="00000000">
            <w:pPr>
              <w:keepNext/>
              <w:keepLines/>
              <w:spacing w:after="0" w:line="240" w:lineRule="auto"/>
              <w:jc w:val="right"/>
            </w:pPr>
            <w:r>
              <w:rPr>
                <w:sz w:val="18"/>
              </w:rPr>
              <w:t>167,6</w:t>
            </w:r>
          </w:p>
        </w:tc>
      </w:tr>
    </w:tbl>
    <w:p w14:paraId="449DF42B" w14:textId="77777777" w:rsidR="00C2797B" w:rsidRDefault="00C2797B">
      <w:pPr>
        <w:spacing w:after="0"/>
      </w:pPr>
    </w:p>
    <w:p w14:paraId="7AACDBD3" w14:textId="77777777" w:rsidR="00C2797B" w:rsidRDefault="00000000">
      <w:r>
        <w:t>Prihodi od zakupa i iznajmljivanja imovine (šifra 6422) ukupno su realizirani u iznosu od 59.123,50 EUR, što je 67,6% više u odnosu na prošlu godinu u istom razdoblju kad su realizirani u iznosu od 35.283,10 EUR, uslijed povećane cijene zakupa poslovnih prostora i pravovremene naplate istih.</w:t>
      </w:r>
    </w:p>
    <w:p w14:paraId="547A356C" w14:textId="77777777" w:rsidR="00C2797B" w:rsidRDefault="00C2797B"/>
    <w:p w14:paraId="6F604F2A" w14:textId="77777777" w:rsidR="00C2797B"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492892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CA03C7"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FFDD82"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E19381"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E47614"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92E2A4"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0D6D58" w14:textId="77777777" w:rsidR="00C2797B" w:rsidRDefault="00000000">
            <w:pPr>
              <w:keepNext/>
              <w:keepLines/>
              <w:spacing w:after="0" w:line="240" w:lineRule="auto"/>
              <w:jc w:val="center"/>
            </w:pPr>
            <w:r>
              <w:rPr>
                <w:b/>
                <w:sz w:val="18"/>
              </w:rPr>
              <w:t>Indeks (%)</w:t>
            </w:r>
          </w:p>
        </w:tc>
      </w:tr>
      <w:tr w:rsidR="00C2797B" w14:paraId="52B9D512" w14:textId="77777777">
        <w:tblPrEx>
          <w:tblCellMar>
            <w:top w:w="0" w:type="dxa"/>
            <w:bottom w:w="0" w:type="dxa"/>
          </w:tblCellMar>
        </w:tblPrEx>
        <w:trPr>
          <w:cantSplit/>
          <w:trHeight w:val="560"/>
        </w:trPr>
        <w:tc>
          <w:tcPr>
            <w:tcW w:w="700" w:type="dxa"/>
            <w:tcMar>
              <w:top w:w="0" w:type="dxa"/>
              <w:bottom w:w="0" w:type="dxa"/>
            </w:tcMar>
            <w:vAlign w:val="center"/>
          </w:tcPr>
          <w:p w14:paraId="348AECF0" w14:textId="77777777" w:rsidR="00C2797B" w:rsidRDefault="00000000">
            <w:pPr>
              <w:keepNext/>
              <w:keepLines/>
              <w:spacing w:after="0" w:line="240" w:lineRule="auto"/>
            </w:pPr>
            <w:r>
              <w:rPr>
                <w:sz w:val="18"/>
              </w:rPr>
              <w:t>65</w:t>
            </w:r>
          </w:p>
        </w:tc>
        <w:tc>
          <w:tcPr>
            <w:tcW w:w="3180" w:type="dxa"/>
            <w:tcMar>
              <w:top w:w="0" w:type="dxa"/>
              <w:bottom w:w="0" w:type="dxa"/>
            </w:tcMar>
            <w:vAlign w:val="center"/>
          </w:tcPr>
          <w:p w14:paraId="50B07220" w14:textId="77777777" w:rsidR="00C2797B"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1C1725A5" w14:textId="77777777" w:rsidR="00C2797B" w:rsidRDefault="00000000">
            <w:pPr>
              <w:keepNext/>
              <w:keepLines/>
              <w:spacing w:after="0" w:line="240" w:lineRule="auto"/>
            </w:pPr>
            <w:r>
              <w:rPr>
                <w:sz w:val="18"/>
              </w:rPr>
              <w:t>65</w:t>
            </w:r>
          </w:p>
        </w:tc>
        <w:tc>
          <w:tcPr>
            <w:tcW w:w="1860" w:type="dxa"/>
            <w:tcMar>
              <w:top w:w="0" w:type="dxa"/>
              <w:bottom w:w="0" w:type="dxa"/>
            </w:tcMar>
            <w:vAlign w:val="center"/>
          </w:tcPr>
          <w:p w14:paraId="3F0BF39F" w14:textId="77777777" w:rsidR="00C2797B" w:rsidRDefault="00000000">
            <w:pPr>
              <w:keepNext/>
              <w:keepLines/>
              <w:spacing w:after="0" w:line="240" w:lineRule="auto"/>
              <w:jc w:val="right"/>
            </w:pPr>
            <w:r>
              <w:rPr>
                <w:sz w:val="18"/>
              </w:rPr>
              <w:t>131.485,35</w:t>
            </w:r>
          </w:p>
        </w:tc>
        <w:tc>
          <w:tcPr>
            <w:tcW w:w="1860" w:type="dxa"/>
            <w:tcMar>
              <w:top w:w="0" w:type="dxa"/>
              <w:bottom w:w="0" w:type="dxa"/>
            </w:tcMar>
            <w:vAlign w:val="center"/>
          </w:tcPr>
          <w:p w14:paraId="488DFBF2" w14:textId="77777777" w:rsidR="00C2797B" w:rsidRDefault="00000000">
            <w:pPr>
              <w:keepNext/>
              <w:keepLines/>
              <w:spacing w:after="0" w:line="240" w:lineRule="auto"/>
              <w:jc w:val="right"/>
            </w:pPr>
            <w:r>
              <w:rPr>
                <w:sz w:val="18"/>
              </w:rPr>
              <w:t>321.892,26</w:t>
            </w:r>
          </w:p>
        </w:tc>
        <w:tc>
          <w:tcPr>
            <w:tcW w:w="700" w:type="dxa"/>
            <w:tcMar>
              <w:top w:w="0" w:type="dxa"/>
              <w:bottom w:w="0" w:type="dxa"/>
            </w:tcMar>
            <w:vAlign w:val="center"/>
          </w:tcPr>
          <w:p w14:paraId="0A073CF2" w14:textId="77777777" w:rsidR="00C2797B" w:rsidRDefault="00000000">
            <w:pPr>
              <w:keepNext/>
              <w:keepLines/>
              <w:spacing w:after="0" w:line="240" w:lineRule="auto"/>
              <w:jc w:val="right"/>
            </w:pPr>
            <w:r>
              <w:rPr>
                <w:sz w:val="18"/>
              </w:rPr>
              <w:t>244,8</w:t>
            </w:r>
          </w:p>
        </w:tc>
      </w:tr>
    </w:tbl>
    <w:p w14:paraId="3E30067B" w14:textId="77777777" w:rsidR="00C2797B" w:rsidRDefault="00C2797B">
      <w:pPr>
        <w:spacing w:after="0"/>
      </w:pPr>
    </w:p>
    <w:p w14:paraId="53756896" w14:textId="77777777" w:rsidR="00C2797B" w:rsidRDefault="00000000">
      <w:r>
        <w:t>Prihodi od upravnih i administrativnih pristojbi, pristojbi po posebnim propisima i naknada (šifre 651+652+653+654) ostvareni su u iznosu od 321.892,26 EUR sa indeksom od 244,8 u odnosu na prošlu godinu u istom razdoblju kad su ostvareni sa 131.485,35 EUR.</w:t>
      </w:r>
    </w:p>
    <w:p w14:paraId="5A3A1C68" w14:textId="77777777" w:rsidR="00C2797B" w:rsidRDefault="00000000">
      <w:r>
        <w:t>Glavni razlog povećanja ovih prihoda je povećana realizacija prihoda od komunalnih doprinosa i komunalnih naknada.</w:t>
      </w:r>
    </w:p>
    <w:p w14:paraId="02609A6D" w14:textId="77777777" w:rsidR="00C2797B" w:rsidRDefault="00C2797B"/>
    <w:p w14:paraId="4F10F681" w14:textId="77777777" w:rsidR="00C2797B"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1835AA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CD8177"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EC9176"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556E7"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39922"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86968D"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4A79F5" w14:textId="77777777" w:rsidR="00C2797B" w:rsidRDefault="00000000">
            <w:pPr>
              <w:keepNext/>
              <w:keepLines/>
              <w:spacing w:after="0" w:line="240" w:lineRule="auto"/>
              <w:jc w:val="center"/>
            </w:pPr>
            <w:r>
              <w:rPr>
                <w:b/>
                <w:sz w:val="18"/>
              </w:rPr>
              <w:t>Indeks (%)</w:t>
            </w:r>
          </w:p>
        </w:tc>
      </w:tr>
      <w:tr w:rsidR="00C2797B" w14:paraId="5E7E00D7" w14:textId="77777777">
        <w:tblPrEx>
          <w:tblCellMar>
            <w:top w:w="0" w:type="dxa"/>
            <w:bottom w:w="0" w:type="dxa"/>
          </w:tblCellMar>
        </w:tblPrEx>
        <w:trPr>
          <w:cantSplit/>
          <w:trHeight w:val="560"/>
        </w:trPr>
        <w:tc>
          <w:tcPr>
            <w:tcW w:w="700" w:type="dxa"/>
            <w:tcMar>
              <w:top w:w="0" w:type="dxa"/>
              <w:bottom w:w="0" w:type="dxa"/>
            </w:tcMar>
            <w:vAlign w:val="center"/>
          </w:tcPr>
          <w:p w14:paraId="5DEB611F" w14:textId="77777777" w:rsidR="00C2797B" w:rsidRDefault="00000000">
            <w:pPr>
              <w:keepNext/>
              <w:keepLines/>
              <w:spacing w:after="0" w:line="240" w:lineRule="auto"/>
            </w:pPr>
            <w:r>
              <w:rPr>
                <w:sz w:val="18"/>
              </w:rPr>
              <w:t>653</w:t>
            </w:r>
          </w:p>
        </w:tc>
        <w:tc>
          <w:tcPr>
            <w:tcW w:w="3180" w:type="dxa"/>
            <w:tcMar>
              <w:top w:w="0" w:type="dxa"/>
              <w:bottom w:w="0" w:type="dxa"/>
            </w:tcMar>
            <w:vAlign w:val="center"/>
          </w:tcPr>
          <w:p w14:paraId="29F9DB59" w14:textId="77777777" w:rsidR="00C2797B"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7160AD30" w14:textId="77777777" w:rsidR="00C2797B" w:rsidRDefault="00000000">
            <w:pPr>
              <w:keepNext/>
              <w:keepLines/>
              <w:spacing w:after="0" w:line="240" w:lineRule="auto"/>
            </w:pPr>
            <w:r>
              <w:rPr>
                <w:sz w:val="18"/>
              </w:rPr>
              <w:t>653</w:t>
            </w:r>
          </w:p>
        </w:tc>
        <w:tc>
          <w:tcPr>
            <w:tcW w:w="1860" w:type="dxa"/>
            <w:tcMar>
              <w:top w:w="0" w:type="dxa"/>
              <w:bottom w:w="0" w:type="dxa"/>
            </w:tcMar>
            <w:vAlign w:val="center"/>
          </w:tcPr>
          <w:p w14:paraId="24E0EBB2" w14:textId="77777777" w:rsidR="00C2797B" w:rsidRDefault="00000000">
            <w:pPr>
              <w:keepNext/>
              <w:keepLines/>
              <w:spacing w:after="0" w:line="240" w:lineRule="auto"/>
              <w:jc w:val="right"/>
            </w:pPr>
            <w:r>
              <w:rPr>
                <w:sz w:val="18"/>
              </w:rPr>
              <w:t>74.505,91</w:t>
            </w:r>
          </w:p>
        </w:tc>
        <w:tc>
          <w:tcPr>
            <w:tcW w:w="1860" w:type="dxa"/>
            <w:tcMar>
              <w:top w:w="0" w:type="dxa"/>
              <w:bottom w:w="0" w:type="dxa"/>
            </w:tcMar>
            <w:vAlign w:val="center"/>
          </w:tcPr>
          <w:p w14:paraId="63BEDCCF" w14:textId="77777777" w:rsidR="00C2797B" w:rsidRDefault="00000000">
            <w:pPr>
              <w:keepNext/>
              <w:keepLines/>
              <w:spacing w:after="0" w:line="240" w:lineRule="auto"/>
              <w:jc w:val="right"/>
            </w:pPr>
            <w:r>
              <w:rPr>
                <w:sz w:val="18"/>
              </w:rPr>
              <w:t>289.341,97</w:t>
            </w:r>
          </w:p>
        </w:tc>
        <w:tc>
          <w:tcPr>
            <w:tcW w:w="700" w:type="dxa"/>
            <w:tcMar>
              <w:top w:w="0" w:type="dxa"/>
              <w:bottom w:w="0" w:type="dxa"/>
            </w:tcMar>
            <w:vAlign w:val="center"/>
          </w:tcPr>
          <w:p w14:paraId="2C29E68A" w14:textId="77777777" w:rsidR="00C2797B" w:rsidRDefault="00000000">
            <w:pPr>
              <w:keepNext/>
              <w:keepLines/>
              <w:spacing w:after="0" w:line="240" w:lineRule="auto"/>
              <w:jc w:val="right"/>
            </w:pPr>
            <w:r>
              <w:rPr>
                <w:sz w:val="18"/>
              </w:rPr>
              <w:t>388,3</w:t>
            </w:r>
          </w:p>
        </w:tc>
      </w:tr>
    </w:tbl>
    <w:p w14:paraId="22F3279A" w14:textId="77777777" w:rsidR="00C2797B" w:rsidRDefault="00C2797B">
      <w:pPr>
        <w:spacing w:after="0"/>
      </w:pPr>
    </w:p>
    <w:p w14:paraId="6542FD35" w14:textId="77777777" w:rsidR="00C2797B" w:rsidRDefault="00000000">
      <w:r>
        <w:t>Prihodi od komunalnih doprinosa i naknada (šifre 6531 do 6533) ostvareni su u ukupnom iznosu od 289.341,97 EUR što čini povećanje od 288,3 % u odnosu na prošlu godinu u istom izvještajnom razdoblju kad su ostvareni u iznosu od 74.505,91 EUR.</w:t>
      </w:r>
    </w:p>
    <w:p w14:paraId="55F8D848" w14:textId="77777777" w:rsidR="00C2797B" w:rsidRDefault="00000000">
      <w:r>
        <w:t>Razlog značajnijeg povećanja prihoda je povećani broj izdanih rješenja za obračunate komunalne doprinose i naplata istih, te povećanje cijene komunalne naknade po m2, slanje opomena i naplata istih.</w:t>
      </w:r>
    </w:p>
    <w:p w14:paraId="468E2FED" w14:textId="77777777" w:rsidR="00C2797B" w:rsidRDefault="00C2797B"/>
    <w:p w14:paraId="57D174E8" w14:textId="77777777" w:rsidR="00C2797B"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2374E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7ED202"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4B5585"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C8B09"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EA932"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7D9D3C"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05D7DE" w14:textId="77777777" w:rsidR="00C2797B" w:rsidRDefault="00000000">
            <w:pPr>
              <w:keepNext/>
              <w:keepLines/>
              <w:spacing w:after="0" w:line="240" w:lineRule="auto"/>
              <w:jc w:val="center"/>
            </w:pPr>
            <w:r>
              <w:rPr>
                <w:b/>
                <w:sz w:val="18"/>
              </w:rPr>
              <w:t>Indeks (%)</w:t>
            </w:r>
          </w:p>
        </w:tc>
      </w:tr>
      <w:tr w:rsidR="00C2797B" w14:paraId="3BC2F67B" w14:textId="77777777">
        <w:tblPrEx>
          <w:tblCellMar>
            <w:top w:w="0" w:type="dxa"/>
            <w:bottom w:w="0" w:type="dxa"/>
          </w:tblCellMar>
        </w:tblPrEx>
        <w:trPr>
          <w:cantSplit/>
          <w:trHeight w:val="560"/>
        </w:trPr>
        <w:tc>
          <w:tcPr>
            <w:tcW w:w="700" w:type="dxa"/>
            <w:tcMar>
              <w:top w:w="0" w:type="dxa"/>
              <w:bottom w:w="0" w:type="dxa"/>
            </w:tcMar>
            <w:vAlign w:val="center"/>
          </w:tcPr>
          <w:p w14:paraId="3EB8DEA6" w14:textId="77777777" w:rsidR="00C2797B" w:rsidRDefault="00000000">
            <w:pPr>
              <w:keepNext/>
              <w:keepLines/>
              <w:spacing w:after="0" w:line="240" w:lineRule="auto"/>
            </w:pPr>
            <w:r>
              <w:rPr>
                <w:sz w:val="18"/>
              </w:rPr>
              <w:t>3</w:t>
            </w:r>
          </w:p>
        </w:tc>
        <w:tc>
          <w:tcPr>
            <w:tcW w:w="3180" w:type="dxa"/>
            <w:tcMar>
              <w:top w:w="0" w:type="dxa"/>
              <w:bottom w:w="0" w:type="dxa"/>
            </w:tcMar>
            <w:vAlign w:val="center"/>
          </w:tcPr>
          <w:p w14:paraId="55424F0F" w14:textId="77777777" w:rsidR="00C2797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BDFDA99" w14:textId="77777777" w:rsidR="00C2797B" w:rsidRDefault="00000000">
            <w:pPr>
              <w:keepNext/>
              <w:keepLines/>
              <w:spacing w:after="0" w:line="240" w:lineRule="auto"/>
            </w:pPr>
            <w:r>
              <w:rPr>
                <w:sz w:val="18"/>
              </w:rPr>
              <w:t>3</w:t>
            </w:r>
          </w:p>
        </w:tc>
        <w:tc>
          <w:tcPr>
            <w:tcW w:w="1860" w:type="dxa"/>
            <w:tcMar>
              <w:top w:w="0" w:type="dxa"/>
              <w:bottom w:w="0" w:type="dxa"/>
            </w:tcMar>
            <w:vAlign w:val="center"/>
          </w:tcPr>
          <w:p w14:paraId="05D20BDB" w14:textId="77777777" w:rsidR="00C2797B" w:rsidRDefault="00000000">
            <w:pPr>
              <w:keepNext/>
              <w:keepLines/>
              <w:spacing w:after="0" w:line="240" w:lineRule="auto"/>
              <w:jc w:val="right"/>
            </w:pPr>
            <w:r>
              <w:rPr>
                <w:sz w:val="18"/>
              </w:rPr>
              <w:t>1.099.021,70</w:t>
            </w:r>
          </w:p>
        </w:tc>
        <w:tc>
          <w:tcPr>
            <w:tcW w:w="1860" w:type="dxa"/>
            <w:tcMar>
              <w:top w:w="0" w:type="dxa"/>
              <w:bottom w:w="0" w:type="dxa"/>
            </w:tcMar>
            <w:vAlign w:val="center"/>
          </w:tcPr>
          <w:p w14:paraId="661D962A" w14:textId="77777777" w:rsidR="00C2797B" w:rsidRDefault="00000000">
            <w:pPr>
              <w:keepNext/>
              <w:keepLines/>
              <w:spacing w:after="0" w:line="240" w:lineRule="auto"/>
              <w:jc w:val="right"/>
            </w:pPr>
            <w:r>
              <w:rPr>
                <w:sz w:val="18"/>
              </w:rPr>
              <w:t>1.157.976,15</w:t>
            </w:r>
          </w:p>
        </w:tc>
        <w:tc>
          <w:tcPr>
            <w:tcW w:w="700" w:type="dxa"/>
            <w:tcMar>
              <w:top w:w="0" w:type="dxa"/>
              <w:bottom w:w="0" w:type="dxa"/>
            </w:tcMar>
            <w:vAlign w:val="center"/>
          </w:tcPr>
          <w:p w14:paraId="1816BFA6" w14:textId="77777777" w:rsidR="00C2797B" w:rsidRDefault="00000000">
            <w:pPr>
              <w:keepNext/>
              <w:keepLines/>
              <w:spacing w:after="0" w:line="240" w:lineRule="auto"/>
              <w:jc w:val="right"/>
            </w:pPr>
            <w:r>
              <w:rPr>
                <w:sz w:val="18"/>
              </w:rPr>
              <w:t>105,4</w:t>
            </w:r>
          </w:p>
        </w:tc>
      </w:tr>
    </w:tbl>
    <w:p w14:paraId="4176A8D8" w14:textId="77777777" w:rsidR="00C2797B" w:rsidRDefault="00C2797B">
      <w:pPr>
        <w:spacing w:after="0"/>
      </w:pPr>
    </w:p>
    <w:p w14:paraId="00385059" w14:textId="77777777" w:rsidR="00C2797B" w:rsidRDefault="00000000">
      <w:r>
        <w:t>U izvještajnom razdoblju od 1. siječnja do 31. ožujka 2026. godine Općina Fažana je imala realizaciju rashoda poslovanja u iznosu od 1.157.976,15 EUR što predstavlja povećanje od 5,4% u odnosu na prošlu godinu u istom izvještajnom razdoblju kad su ostvareni u iznosu od 1.099.021,70 EUR.</w:t>
      </w:r>
      <w:r>
        <w:br/>
        <w:t> </w:t>
      </w:r>
    </w:p>
    <w:p w14:paraId="0B6F0CB3" w14:textId="77777777" w:rsidR="00C2797B" w:rsidRDefault="00C2797B"/>
    <w:p w14:paraId="3E46E281" w14:textId="77777777" w:rsidR="00C2797B"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442DBD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6C4EEA"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1C2C52"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DCF9F0"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6D5637"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913047"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F60BC1" w14:textId="77777777" w:rsidR="00C2797B" w:rsidRDefault="00000000">
            <w:pPr>
              <w:keepNext/>
              <w:keepLines/>
              <w:spacing w:after="0" w:line="240" w:lineRule="auto"/>
              <w:jc w:val="center"/>
            </w:pPr>
            <w:r>
              <w:rPr>
                <w:b/>
                <w:sz w:val="18"/>
              </w:rPr>
              <w:t>Indeks (%)</w:t>
            </w:r>
          </w:p>
        </w:tc>
      </w:tr>
      <w:tr w:rsidR="00C2797B" w14:paraId="51BED8D9" w14:textId="77777777">
        <w:tblPrEx>
          <w:tblCellMar>
            <w:top w:w="0" w:type="dxa"/>
            <w:bottom w:w="0" w:type="dxa"/>
          </w:tblCellMar>
        </w:tblPrEx>
        <w:trPr>
          <w:cantSplit/>
          <w:trHeight w:val="560"/>
        </w:trPr>
        <w:tc>
          <w:tcPr>
            <w:tcW w:w="700" w:type="dxa"/>
            <w:tcMar>
              <w:top w:w="0" w:type="dxa"/>
              <w:bottom w:w="0" w:type="dxa"/>
            </w:tcMar>
            <w:vAlign w:val="center"/>
          </w:tcPr>
          <w:p w14:paraId="29CFE2FD" w14:textId="77777777" w:rsidR="00C2797B" w:rsidRDefault="00000000">
            <w:pPr>
              <w:keepNext/>
              <w:keepLines/>
              <w:spacing w:after="0" w:line="240" w:lineRule="auto"/>
            </w:pPr>
            <w:r>
              <w:rPr>
                <w:sz w:val="18"/>
              </w:rPr>
              <w:t>31</w:t>
            </w:r>
          </w:p>
        </w:tc>
        <w:tc>
          <w:tcPr>
            <w:tcW w:w="3180" w:type="dxa"/>
            <w:tcMar>
              <w:top w:w="0" w:type="dxa"/>
              <w:bottom w:w="0" w:type="dxa"/>
            </w:tcMar>
            <w:vAlign w:val="center"/>
          </w:tcPr>
          <w:p w14:paraId="2743CB2B" w14:textId="77777777" w:rsidR="00C2797B"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ED6007E" w14:textId="77777777" w:rsidR="00C2797B" w:rsidRDefault="00000000">
            <w:pPr>
              <w:keepNext/>
              <w:keepLines/>
              <w:spacing w:after="0" w:line="240" w:lineRule="auto"/>
            </w:pPr>
            <w:r>
              <w:rPr>
                <w:sz w:val="18"/>
              </w:rPr>
              <w:t>31</w:t>
            </w:r>
          </w:p>
        </w:tc>
        <w:tc>
          <w:tcPr>
            <w:tcW w:w="1860" w:type="dxa"/>
            <w:tcMar>
              <w:top w:w="0" w:type="dxa"/>
              <w:bottom w:w="0" w:type="dxa"/>
            </w:tcMar>
            <w:vAlign w:val="center"/>
          </w:tcPr>
          <w:p w14:paraId="22DDD3BE" w14:textId="77777777" w:rsidR="00C2797B" w:rsidRDefault="00000000">
            <w:pPr>
              <w:keepNext/>
              <w:keepLines/>
              <w:spacing w:after="0" w:line="240" w:lineRule="auto"/>
              <w:jc w:val="right"/>
            </w:pPr>
            <w:r>
              <w:rPr>
                <w:sz w:val="18"/>
              </w:rPr>
              <w:t>115.631,90</w:t>
            </w:r>
          </w:p>
        </w:tc>
        <w:tc>
          <w:tcPr>
            <w:tcW w:w="1860" w:type="dxa"/>
            <w:tcMar>
              <w:top w:w="0" w:type="dxa"/>
              <w:bottom w:w="0" w:type="dxa"/>
            </w:tcMar>
            <w:vAlign w:val="center"/>
          </w:tcPr>
          <w:p w14:paraId="3310DE24" w14:textId="77777777" w:rsidR="00C2797B" w:rsidRDefault="00000000">
            <w:pPr>
              <w:keepNext/>
              <w:keepLines/>
              <w:spacing w:after="0" w:line="240" w:lineRule="auto"/>
              <w:jc w:val="right"/>
            </w:pPr>
            <w:r>
              <w:rPr>
                <w:sz w:val="18"/>
              </w:rPr>
              <w:t>145.967,59</w:t>
            </w:r>
          </w:p>
        </w:tc>
        <w:tc>
          <w:tcPr>
            <w:tcW w:w="700" w:type="dxa"/>
            <w:tcMar>
              <w:top w:w="0" w:type="dxa"/>
              <w:bottom w:w="0" w:type="dxa"/>
            </w:tcMar>
            <w:vAlign w:val="center"/>
          </w:tcPr>
          <w:p w14:paraId="2926D4CF" w14:textId="77777777" w:rsidR="00C2797B" w:rsidRDefault="00000000">
            <w:pPr>
              <w:keepNext/>
              <w:keepLines/>
              <w:spacing w:after="0" w:line="240" w:lineRule="auto"/>
              <w:jc w:val="right"/>
            </w:pPr>
            <w:r>
              <w:rPr>
                <w:sz w:val="18"/>
              </w:rPr>
              <w:t>126,2</w:t>
            </w:r>
          </w:p>
        </w:tc>
      </w:tr>
    </w:tbl>
    <w:p w14:paraId="2191D9E5" w14:textId="77777777" w:rsidR="00C2797B" w:rsidRDefault="00C2797B">
      <w:pPr>
        <w:spacing w:after="0"/>
      </w:pPr>
    </w:p>
    <w:p w14:paraId="7360F098" w14:textId="77777777" w:rsidR="00C2797B" w:rsidRDefault="00000000">
      <w:r>
        <w:t>Rashodi za zaposlene (šifre 311+312+313) šifra 31 ostvareni su u ukupnom iznosu od 145.967,59 EUR što je povećanje od 26,2% u odnosu na prošlu godinu u istom izvještajnom razdoblju kad su ostvareni u iznosu od 115.631,90 EUR. Razlog ovom povećanju je povećanje osnovice za obračun plaće za zaposlenike Općine Fažana kao i povećanje osnovice za obračun plaće za općinskog načelnika, te zapošljavanje 2 novih službenika.</w:t>
      </w:r>
      <w:r>
        <w:br/>
        <w:t> </w:t>
      </w:r>
    </w:p>
    <w:p w14:paraId="68FADF38" w14:textId="77777777" w:rsidR="00C2797B" w:rsidRDefault="00C2797B"/>
    <w:p w14:paraId="7B5245AD" w14:textId="77777777" w:rsidR="00C2797B"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0C614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47F1FD"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B3F5E"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AC56D"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54BCFD"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E3204F"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5B4DD7" w14:textId="77777777" w:rsidR="00C2797B" w:rsidRDefault="00000000">
            <w:pPr>
              <w:keepNext/>
              <w:keepLines/>
              <w:spacing w:after="0" w:line="240" w:lineRule="auto"/>
              <w:jc w:val="center"/>
            </w:pPr>
            <w:r>
              <w:rPr>
                <w:b/>
                <w:sz w:val="18"/>
              </w:rPr>
              <w:t>Indeks (%)</w:t>
            </w:r>
          </w:p>
        </w:tc>
      </w:tr>
      <w:tr w:rsidR="00C2797B" w14:paraId="1F568A7E" w14:textId="77777777">
        <w:tblPrEx>
          <w:tblCellMar>
            <w:top w:w="0" w:type="dxa"/>
            <w:bottom w:w="0" w:type="dxa"/>
          </w:tblCellMar>
        </w:tblPrEx>
        <w:trPr>
          <w:cantSplit/>
          <w:trHeight w:val="560"/>
        </w:trPr>
        <w:tc>
          <w:tcPr>
            <w:tcW w:w="700" w:type="dxa"/>
            <w:tcMar>
              <w:top w:w="0" w:type="dxa"/>
              <w:bottom w:w="0" w:type="dxa"/>
            </w:tcMar>
            <w:vAlign w:val="center"/>
          </w:tcPr>
          <w:p w14:paraId="6A0BC729" w14:textId="77777777" w:rsidR="00C2797B" w:rsidRDefault="00000000">
            <w:pPr>
              <w:keepNext/>
              <w:keepLines/>
              <w:spacing w:after="0" w:line="240" w:lineRule="auto"/>
            </w:pPr>
            <w:r>
              <w:rPr>
                <w:sz w:val="18"/>
              </w:rPr>
              <w:t>312</w:t>
            </w:r>
          </w:p>
        </w:tc>
        <w:tc>
          <w:tcPr>
            <w:tcW w:w="3180" w:type="dxa"/>
            <w:tcMar>
              <w:top w:w="0" w:type="dxa"/>
              <w:bottom w:w="0" w:type="dxa"/>
            </w:tcMar>
            <w:vAlign w:val="center"/>
          </w:tcPr>
          <w:p w14:paraId="60E456FF" w14:textId="77777777" w:rsidR="00C2797B"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32EA4C14" w14:textId="77777777" w:rsidR="00C2797B" w:rsidRDefault="00000000">
            <w:pPr>
              <w:keepNext/>
              <w:keepLines/>
              <w:spacing w:after="0" w:line="240" w:lineRule="auto"/>
            </w:pPr>
            <w:r>
              <w:rPr>
                <w:sz w:val="18"/>
              </w:rPr>
              <w:t>312</w:t>
            </w:r>
          </w:p>
        </w:tc>
        <w:tc>
          <w:tcPr>
            <w:tcW w:w="1860" w:type="dxa"/>
            <w:tcMar>
              <w:top w:w="0" w:type="dxa"/>
              <w:bottom w:w="0" w:type="dxa"/>
            </w:tcMar>
            <w:vAlign w:val="center"/>
          </w:tcPr>
          <w:p w14:paraId="61757421" w14:textId="77777777" w:rsidR="00C2797B" w:rsidRDefault="00000000">
            <w:pPr>
              <w:keepNext/>
              <w:keepLines/>
              <w:spacing w:after="0" w:line="240" w:lineRule="auto"/>
              <w:jc w:val="right"/>
            </w:pPr>
            <w:r>
              <w:rPr>
                <w:sz w:val="18"/>
              </w:rPr>
              <w:t>4.921,89</w:t>
            </w:r>
          </w:p>
        </w:tc>
        <w:tc>
          <w:tcPr>
            <w:tcW w:w="1860" w:type="dxa"/>
            <w:tcMar>
              <w:top w:w="0" w:type="dxa"/>
              <w:bottom w:w="0" w:type="dxa"/>
            </w:tcMar>
            <w:vAlign w:val="center"/>
          </w:tcPr>
          <w:p w14:paraId="71F50029" w14:textId="77777777" w:rsidR="00C2797B" w:rsidRDefault="00000000">
            <w:pPr>
              <w:keepNext/>
              <w:keepLines/>
              <w:spacing w:after="0" w:line="240" w:lineRule="auto"/>
              <w:jc w:val="right"/>
            </w:pPr>
            <w:r>
              <w:rPr>
                <w:sz w:val="18"/>
              </w:rPr>
              <w:t>7.297,41</w:t>
            </w:r>
          </w:p>
        </w:tc>
        <w:tc>
          <w:tcPr>
            <w:tcW w:w="700" w:type="dxa"/>
            <w:tcMar>
              <w:top w:w="0" w:type="dxa"/>
              <w:bottom w:w="0" w:type="dxa"/>
            </w:tcMar>
            <w:vAlign w:val="center"/>
          </w:tcPr>
          <w:p w14:paraId="5F140D7E" w14:textId="77777777" w:rsidR="00C2797B" w:rsidRDefault="00000000">
            <w:pPr>
              <w:keepNext/>
              <w:keepLines/>
              <w:spacing w:after="0" w:line="240" w:lineRule="auto"/>
              <w:jc w:val="right"/>
            </w:pPr>
            <w:r>
              <w:rPr>
                <w:sz w:val="18"/>
              </w:rPr>
              <w:t>148,3</w:t>
            </w:r>
          </w:p>
        </w:tc>
      </w:tr>
    </w:tbl>
    <w:p w14:paraId="560BD6F1" w14:textId="77777777" w:rsidR="00C2797B" w:rsidRDefault="00C2797B">
      <w:pPr>
        <w:spacing w:after="0"/>
      </w:pPr>
    </w:p>
    <w:p w14:paraId="1F41CD38" w14:textId="77777777" w:rsidR="00C2797B" w:rsidRDefault="00000000">
      <w:r>
        <w:t xml:space="preserve">Ostali rashodi za zaposlene (šifra 312) ostvareni u iznosu od 7.297,41 EUR odnosno 48,3% više u odnosu na prošlu godinu kad su realizirani sa 4.921,89 EUR. Povećanje je uslijedilo zbog zapošljavanja novih službenika pa slijedno tome i rashodi isplaćeni zaposlenicima su veći u odnosu na prošlu godinu za isto razdoblje (tu su uključeni rashodi za topli obrok, isplate regresa, </w:t>
      </w:r>
      <w:proofErr w:type="spellStart"/>
      <w:r>
        <w:t>uskrsnica</w:t>
      </w:r>
      <w:proofErr w:type="spellEnd"/>
      <w:r>
        <w:t>, solidarnih pomoći).</w:t>
      </w:r>
    </w:p>
    <w:p w14:paraId="3A6AA5E0" w14:textId="77777777" w:rsidR="00C2797B" w:rsidRDefault="00C2797B"/>
    <w:p w14:paraId="286A559F" w14:textId="77777777" w:rsidR="00C2797B"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1A4105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38709"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4028AF"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656ED5"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9B020"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C6B828"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3AC2C" w14:textId="77777777" w:rsidR="00C2797B" w:rsidRDefault="00000000">
            <w:pPr>
              <w:keepNext/>
              <w:keepLines/>
              <w:spacing w:after="0" w:line="240" w:lineRule="auto"/>
              <w:jc w:val="center"/>
            </w:pPr>
            <w:r>
              <w:rPr>
                <w:b/>
                <w:sz w:val="18"/>
              </w:rPr>
              <w:t>Indeks (%)</w:t>
            </w:r>
          </w:p>
        </w:tc>
      </w:tr>
      <w:tr w:rsidR="00C2797B" w14:paraId="119B13CE" w14:textId="77777777">
        <w:tblPrEx>
          <w:tblCellMar>
            <w:top w:w="0" w:type="dxa"/>
            <w:bottom w:w="0" w:type="dxa"/>
          </w:tblCellMar>
        </w:tblPrEx>
        <w:trPr>
          <w:cantSplit/>
          <w:trHeight w:val="560"/>
        </w:trPr>
        <w:tc>
          <w:tcPr>
            <w:tcW w:w="700" w:type="dxa"/>
            <w:tcMar>
              <w:top w:w="0" w:type="dxa"/>
              <w:bottom w:w="0" w:type="dxa"/>
            </w:tcMar>
            <w:vAlign w:val="center"/>
          </w:tcPr>
          <w:p w14:paraId="4B7A00BC" w14:textId="77777777" w:rsidR="00C2797B" w:rsidRDefault="00000000">
            <w:pPr>
              <w:keepNext/>
              <w:keepLines/>
              <w:spacing w:after="0" w:line="240" w:lineRule="auto"/>
            </w:pPr>
            <w:r>
              <w:rPr>
                <w:sz w:val="18"/>
              </w:rPr>
              <w:t>3231</w:t>
            </w:r>
          </w:p>
        </w:tc>
        <w:tc>
          <w:tcPr>
            <w:tcW w:w="3180" w:type="dxa"/>
            <w:tcMar>
              <w:top w:w="0" w:type="dxa"/>
              <w:bottom w:w="0" w:type="dxa"/>
            </w:tcMar>
            <w:vAlign w:val="center"/>
          </w:tcPr>
          <w:p w14:paraId="227B19D8" w14:textId="77777777" w:rsidR="00C2797B"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679B3C5F" w14:textId="77777777" w:rsidR="00C2797B" w:rsidRDefault="00000000">
            <w:pPr>
              <w:keepNext/>
              <w:keepLines/>
              <w:spacing w:after="0" w:line="240" w:lineRule="auto"/>
            </w:pPr>
            <w:r>
              <w:rPr>
                <w:sz w:val="18"/>
              </w:rPr>
              <w:t>3231</w:t>
            </w:r>
          </w:p>
        </w:tc>
        <w:tc>
          <w:tcPr>
            <w:tcW w:w="1860" w:type="dxa"/>
            <w:tcMar>
              <w:top w:w="0" w:type="dxa"/>
              <w:bottom w:w="0" w:type="dxa"/>
            </w:tcMar>
            <w:vAlign w:val="center"/>
          </w:tcPr>
          <w:p w14:paraId="4967FE99" w14:textId="77777777" w:rsidR="00C2797B" w:rsidRDefault="00000000">
            <w:pPr>
              <w:keepNext/>
              <w:keepLines/>
              <w:spacing w:after="0" w:line="240" w:lineRule="auto"/>
              <w:jc w:val="right"/>
            </w:pPr>
            <w:r>
              <w:rPr>
                <w:sz w:val="18"/>
              </w:rPr>
              <w:t>3.413,86</w:t>
            </w:r>
          </w:p>
        </w:tc>
        <w:tc>
          <w:tcPr>
            <w:tcW w:w="1860" w:type="dxa"/>
            <w:tcMar>
              <w:top w:w="0" w:type="dxa"/>
              <w:bottom w:w="0" w:type="dxa"/>
            </w:tcMar>
            <w:vAlign w:val="center"/>
          </w:tcPr>
          <w:p w14:paraId="359F179D" w14:textId="77777777" w:rsidR="00C2797B" w:rsidRDefault="00000000">
            <w:pPr>
              <w:keepNext/>
              <w:keepLines/>
              <w:spacing w:after="0" w:line="240" w:lineRule="auto"/>
              <w:jc w:val="right"/>
            </w:pPr>
            <w:r>
              <w:rPr>
                <w:sz w:val="18"/>
              </w:rPr>
              <w:t>15.423,41</w:t>
            </w:r>
          </w:p>
        </w:tc>
        <w:tc>
          <w:tcPr>
            <w:tcW w:w="700" w:type="dxa"/>
            <w:tcMar>
              <w:top w:w="0" w:type="dxa"/>
              <w:bottom w:w="0" w:type="dxa"/>
            </w:tcMar>
            <w:vAlign w:val="center"/>
          </w:tcPr>
          <w:p w14:paraId="3359A852" w14:textId="77777777" w:rsidR="00C2797B" w:rsidRDefault="00000000">
            <w:pPr>
              <w:keepNext/>
              <w:keepLines/>
              <w:spacing w:after="0" w:line="240" w:lineRule="auto"/>
              <w:jc w:val="right"/>
            </w:pPr>
            <w:r>
              <w:rPr>
                <w:sz w:val="18"/>
              </w:rPr>
              <w:t>451,8</w:t>
            </w:r>
          </w:p>
        </w:tc>
      </w:tr>
    </w:tbl>
    <w:p w14:paraId="05537A4A" w14:textId="77777777" w:rsidR="00C2797B" w:rsidRDefault="00C2797B">
      <w:pPr>
        <w:spacing w:after="0"/>
      </w:pPr>
    </w:p>
    <w:p w14:paraId="6E87220D" w14:textId="77777777" w:rsidR="00C2797B" w:rsidRDefault="00000000">
      <w:r>
        <w:t>Rashodi za usluge telefona, interneta, pošte i prijevoza (šifra 3231) realizirane su u izvještajnom razdoblju u iznosu od 15.423,41 EUR što predstavlja povećanje od 351,8% u odnosu na prošlu godinu kad su iznosili 3.413,86 EUR.</w:t>
      </w:r>
    </w:p>
    <w:p w14:paraId="51323D44" w14:textId="77777777" w:rsidR="00C2797B" w:rsidRDefault="00000000">
      <w:r>
        <w:t>Razlog znatnog povećanja rashoda je izdavanje novih Rješenja za obračun komunalne naknade (uslijed povećanja cijene komunalne naknade) odnosno njihov trošak pripreme, tiskanja i otpreme Rješenja građanima i poslovnim partnerima u zemlji i inozemstvu.</w:t>
      </w:r>
    </w:p>
    <w:p w14:paraId="0F652CF4" w14:textId="77777777" w:rsidR="00C2797B" w:rsidRDefault="00C2797B"/>
    <w:p w14:paraId="377A388D" w14:textId="77777777" w:rsidR="00C2797B"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609178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83DA1"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C1437A"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4647B4"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9C0EB"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AF33B"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41DB94" w14:textId="77777777" w:rsidR="00C2797B" w:rsidRDefault="00000000">
            <w:pPr>
              <w:keepNext/>
              <w:keepLines/>
              <w:spacing w:after="0" w:line="240" w:lineRule="auto"/>
              <w:jc w:val="center"/>
            </w:pPr>
            <w:r>
              <w:rPr>
                <w:b/>
                <w:sz w:val="18"/>
              </w:rPr>
              <w:t>Indeks (%)</w:t>
            </w:r>
          </w:p>
        </w:tc>
      </w:tr>
      <w:tr w:rsidR="00C2797B" w14:paraId="0B5D2BE2" w14:textId="77777777">
        <w:tblPrEx>
          <w:tblCellMar>
            <w:top w:w="0" w:type="dxa"/>
            <w:bottom w:w="0" w:type="dxa"/>
          </w:tblCellMar>
        </w:tblPrEx>
        <w:trPr>
          <w:cantSplit/>
          <w:trHeight w:val="560"/>
        </w:trPr>
        <w:tc>
          <w:tcPr>
            <w:tcW w:w="700" w:type="dxa"/>
            <w:tcMar>
              <w:top w:w="0" w:type="dxa"/>
              <w:bottom w:w="0" w:type="dxa"/>
            </w:tcMar>
            <w:vAlign w:val="center"/>
          </w:tcPr>
          <w:p w14:paraId="47CDBDB6" w14:textId="77777777" w:rsidR="00C2797B" w:rsidRDefault="00000000">
            <w:pPr>
              <w:keepNext/>
              <w:keepLines/>
              <w:spacing w:after="0" w:line="240" w:lineRule="auto"/>
            </w:pPr>
            <w:r>
              <w:rPr>
                <w:sz w:val="18"/>
              </w:rPr>
              <w:t>3235</w:t>
            </w:r>
          </w:p>
        </w:tc>
        <w:tc>
          <w:tcPr>
            <w:tcW w:w="3180" w:type="dxa"/>
            <w:tcMar>
              <w:top w:w="0" w:type="dxa"/>
              <w:bottom w:w="0" w:type="dxa"/>
            </w:tcMar>
            <w:vAlign w:val="center"/>
          </w:tcPr>
          <w:p w14:paraId="3AF3C74F" w14:textId="77777777" w:rsidR="00C2797B" w:rsidRDefault="00000000">
            <w:pPr>
              <w:keepNext/>
              <w:keepLines/>
              <w:spacing w:after="0" w:line="240" w:lineRule="auto"/>
            </w:pPr>
            <w:r>
              <w:rPr>
                <w:sz w:val="18"/>
              </w:rPr>
              <w:t>Zakupnine i najamnine</w:t>
            </w:r>
          </w:p>
        </w:tc>
        <w:tc>
          <w:tcPr>
            <w:tcW w:w="700" w:type="dxa"/>
            <w:tcMar>
              <w:top w:w="0" w:type="dxa"/>
              <w:bottom w:w="0" w:type="dxa"/>
            </w:tcMar>
            <w:vAlign w:val="center"/>
          </w:tcPr>
          <w:p w14:paraId="3531F386" w14:textId="77777777" w:rsidR="00C2797B" w:rsidRDefault="00000000">
            <w:pPr>
              <w:keepNext/>
              <w:keepLines/>
              <w:spacing w:after="0" w:line="240" w:lineRule="auto"/>
            </w:pPr>
            <w:r>
              <w:rPr>
                <w:sz w:val="18"/>
              </w:rPr>
              <w:t>3235</w:t>
            </w:r>
          </w:p>
        </w:tc>
        <w:tc>
          <w:tcPr>
            <w:tcW w:w="1860" w:type="dxa"/>
            <w:tcMar>
              <w:top w:w="0" w:type="dxa"/>
              <w:bottom w:w="0" w:type="dxa"/>
            </w:tcMar>
            <w:vAlign w:val="center"/>
          </w:tcPr>
          <w:p w14:paraId="58581CA4" w14:textId="77777777" w:rsidR="00C2797B" w:rsidRDefault="00000000">
            <w:pPr>
              <w:keepNext/>
              <w:keepLines/>
              <w:spacing w:after="0" w:line="240" w:lineRule="auto"/>
              <w:jc w:val="right"/>
            </w:pPr>
            <w:r>
              <w:rPr>
                <w:sz w:val="18"/>
              </w:rPr>
              <w:t>2.600,80</w:t>
            </w:r>
          </w:p>
        </w:tc>
        <w:tc>
          <w:tcPr>
            <w:tcW w:w="1860" w:type="dxa"/>
            <w:tcMar>
              <w:top w:w="0" w:type="dxa"/>
              <w:bottom w:w="0" w:type="dxa"/>
            </w:tcMar>
            <w:vAlign w:val="center"/>
          </w:tcPr>
          <w:p w14:paraId="474FABED" w14:textId="77777777" w:rsidR="00C2797B" w:rsidRDefault="00000000">
            <w:pPr>
              <w:keepNext/>
              <w:keepLines/>
              <w:spacing w:after="0" w:line="240" w:lineRule="auto"/>
              <w:jc w:val="right"/>
            </w:pPr>
            <w:r>
              <w:rPr>
                <w:sz w:val="18"/>
              </w:rPr>
              <w:t>6.757,20</w:t>
            </w:r>
          </w:p>
        </w:tc>
        <w:tc>
          <w:tcPr>
            <w:tcW w:w="700" w:type="dxa"/>
            <w:tcMar>
              <w:top w:w="0" w:type="dxa"/>
              <w:bottom w:w="0" w:type="dxa"/>
            </w:tcMar>
            <w:vAlign w:val="center"/>
          </w:tcPr>
          <w:p w14:paraId="56836F99" w14:textId="77777777" w:rsidR="00C2797B" w:rsidRDefault="00000000">
            <w:pPr>
              <w:keepNext/>
              <w:keepLines/>
              <w:spacing w:after="0" w:line="240" w:lineRule="auto"/>
              <w:jc w:val="right"/>
            </w:pPr>
            <w:r>
              <w:rPr>
                <w:sz w:val="18"/>
              </w:rPr>
              <w:t>259,8</w:t>
            </w:r>
          </w:p>
        </w:tc>
      </w:tr>
    </w:tbl>
    <w:p w14:paraId="106934C7" w14:textId="77777777" w:rsidR="00C2797B" w:rsidRDefault="00C2797B">
      <w:pPr>
        <w:spacing w:after="0"/>
      </w:pPr>
    </w:p>
    <w:p w14:paraId="2F1A6832" w14:textId="77777777" w:rsidR="00C2797B" w:rsidRDefault="00000000">
      <w:r>
        <w:t>Rashodi za zakupnine i najamnine ostvareni su u iznosu od 6.757,20 EUR odnosno sa 159,8% više u odnosu na prošlu godinu kad su realizirani sa 2.600,80 EUR. Razlog povećanju rashoda je račun za zakup prostora koji smo dobili u zakašnjenju, u 02. mjesecu a odnosi se na 12.mjesec 2025. godine. </w:t>
      </w:r>
    </w:p>
    <w:p w14:paraId="231C1EF5" w14:textId="77777777" w:rsidR="00C2797B" w:rsidRDefault="00C2797B"/>
    <w:p w14:paraId="08DC59D9" w14:textId="77777777" w:rsidR="00C2797B"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8002B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6FA032"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6140C8"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F0F59"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CA93E"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F5762F"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C3A790" w14:textId="77777777" w:rsidR="00C2797B" w:rsidRDefault="00000000">
            <w:pPr>
              <w:keepNext/>
              <w:keepLines/>
              <w:spacing w:after="0" w:line="240" w:lineRule="auto"/>
              <w:jc w:val="center"/>
            </w:pPr>
            <w:r>
              <w:rPr>
                <w:b/>
                <w:sz w:val="18"/>
              </w:rPr>
              <w:t>Indeks (%)</w:t>
            </w:r>
          </w:p>
        </w:tc>
      </w:tr>
      <w:tr w:rsidR="00C2797B" w14:paraId="4498E589" w14:textId="77777777">
        <w:tblPrEx>
          <w:tblCellMar>
            <w:top w:w="0" w:type="dxa"/>
            <w:bottom w:w="0" w:type="dxa"/>
          </w:tblCellMar>
        </w:tblPrEx>
        <w:trPr>
          <w:cantSplit/>
          <w:trHeight w:val="560"/>
        </w:trPr>
        <w:tc>
          <w:tcPr>
            <w:tcW w:w="700" w:type="dxa"/>
            <w:tcMar>
              <w:top w:w="0" w:type="dxa"/>
              <w:bottom w:w="0" w:type="dxa"/>
            </w:tcMar>
            <w:vAlign w:val="center"/>
          </w:tcPr>
          <w:p w14:paraId="29A05E96" w14:textId="77777777" w:rsidR="00C2797B" w:rsidRDefault="00000000">
            <w:pPr>
              <w:keepNext/>
              <w:keepLines/>
              <w:spacing w:after="0" w:line="240" w:lineRule="auto"/>
            </w:pPr>
            <w:r>
              <w:rPr>
                <w:sz w:val="18"/>
              </w:rPr>
              <w:t>3238</w:t>
            </w:r>
          </w:p>
        </w:tc>
        <w:tc>
          <w:tcPr>
            <w:tcW w:w="3180" w:type="dxa"/>
            <w:tcMar>
              <w:top w:w="0" w:type="dxa"/>
              <w:bottom w:w="0" w:type="dxa"/>
            </w:tcMar>
            <w:vAlign w:val="center"/>
          </w:tcPr>
          <w:p w14:paraId="08596009" w14:textId="77777777" w:rsidR="00C2797B" w:rsidRDefault="00000000">
            <w:pPr>
              <w:keepNext/>
              <w:keepLines/>
              <w:spacing w:after="0" w:line="240" w:lineRule="auto"/>
            </w:pPr>
            <w:r>
              <w:rPr>
                <w:sz w:val="18"/>
              </w:rPr>
              <w:t>Računalne usluge</w:t>
            </w:r>
          </w:p>
        </w:tc>
        <w:tc>
          <w:tcPr>
            <w:tcW w:w="700" w:type="dxa"/>
            <w:tcMar>
              <w:top w:w="0" w:type="dxa"/>
              <w:bottom w:w="0" w:type="dxa"/>
            </w:tcMar>
            <w:vAlign w:val="center"/>
          </w:tcPr>
          <w:p w14:paraId="67C5EDF1" w14:textId="77777777" w:rsidR="00C2797B" w:rsidRDefault="00000000">
            <w:pPr>
              <w:keepNext/>
              <w:keepLines/>
              <w:spacing w:after="0" w:line="240" w:lineRule="auto"/>
            </w:pPr>
            <w:r>
              <w:rPr>
                <w:sz w:val="18"/>
              </w:rPr>
              <w:t>3238</w:t>
            </w:r>
          </w:p>
        </w:tc>
        <w:tc>
          <w:tcPr>
            <w:tcW w:w="1860" w:type="dxa"/>
            <w:tcMar>
              <w:top w:w="0" w:type="dxa"/>
              <w:bottom w:w="0" w:type="dxa"/>
            </w:tcMar>
            <w:vAlign w:val="center"/>
          </w:tcPr>
          <w:p w14:paraId="2F462AFE" w14:textId="77777777" w:rsidR="00C2797B" w:rsidRDefault="00000000">
            <w:pPr>
              <w:keepNext/>
              <w:keepLines/>
              <w:spacing w:after="0" w:line="240" w:lineRule="auto"/>
              <w:jc w:val="right"/>
            </w:pPr>
            <w:r>
              <w:rPr>
                <w:sz w:val="18"/>
              </w:rPr>
              <w:t>10.364,74</w:t>
            </w:r>
          </w:p>
        </w:tc>
        <w:tc>
          <w:tcPr>
            <w:tcW w:w="1860" w:type="dxa"/>
            <w:tcMar>
              <w:top w:w="0" w:type="dxa"/>
              <w:bottom w:w="0" w:type="dxa"/>
            </w:tcMar>
            <w:vAlign w:val="center"/>
          </w:tcPr>
          <w:p w14:paraId="31EC1017" w14:textId="77777777" w:rsidR="00C2797B" w:rsidRDefault="00000000">
            <w:pPr>
              <w:keepNext/>
              <w:keepLines/>
              <w:spacing w:after="0" w:line="240" w:lineRule="auto"/>
              <w:jc w:val="right"/>
            </w:pPr>
            <w:r>
              <w:rPr>
                <w:sz w:val="18"/>
              </w:rPr>
              <w:t>24.274,76</w:t>
            </w:r>
          </w:p>
        </w:tc>
        <w:tc>
          <w:tcPr>
            <w:tcW w:w="700" w:type="dxa"/>
            <w:tcMar>
              <w:top w:w="0" w:type="dxa"/>
              <w:bottom w:w="0" w:type="dxa"/>
            </w:tcMar>
            <w:vAlign w:val="center"/>
          </w:tcPr>
          <w:p w14:paraId="48321693" w14:textId="77777777" w:rsidR="00C2797B" w:rsidRDefault="00000000">
            <w:pPr>
              <w:keepNext/>
              <w:keepLines/>
              <w:spacing w:after="0" w:line="240" w:lineRule="auto"/>
              <w:jc w:val="right"/>
            </w:pPr>
            <w:r>
              <w:rPr>
                <w:sz w:val="18"/>
              </w:rPr>
              <w:t>234,2</w:t>
            </w:r>
          </w:p>
        </w:tc>
      </w:tr>
    </w:tbl>
    <w:p w14:paraId="38AA9455" w14:textId="77777777" w:rsidR="00C2797B" w:rsidRDefault="00C2797B">
      <w:pPr>
        <w:spacing w:after="0"/>
      </w:pPr>
    </w:p>
    <w:p w14:paraId="03095960" w14:textId="77777777" w:rsidR="00C2797B" w:rsidRDefault="00000000">
      <w:r>
        <w:t>Rashodi za računalne usluge (šifra 3238) ostvareni su u iznosu od 24.274,76 EUR što predstavlja povećanje od 134,2% u odnosu na prošlu godinu za isto razdoblje kad su ostvareni u iznosu od 10.364,74 EUR.</w:t>
      </w:r>
    </w:p>
    <w:p w14:paraId="18B658D9" w14:textId="77777777" w:rsidR="00C2797B" w:rsidRDefault="00000000">
      <w:r>
        <w:t xml:space="preserve">Razlog povećanju rashoda je nabava novih informacijskih sustava, "Ugovori, </w:t>
      </w:r>
      <w:proofErr w:type="spellStart"/>
      <w:r>
        <w:t>Fiskalizacija,Kolanje</w:t>
      </w:r>
      <w:proofErr w:type="spellEnd"/>
      <w:r>
        <w:t xml:space="preserve"> računa", te usluge informatičke kuće za izdavanje Rješenja za obračun komunalne naknade.</w:t>
      </w:r>
      <w:r>
        <w:br/>
        <w:t> </w:t>
      </w:r>
    </w:p>
    <w:p w14:paraId="267B2D51" w14:textId="77777777" w:rsidR="00C2797B" w:rsidRDefault="00C2797B"/>
    <w:p w14:paraId="5E86348C" w14:textId="77777777" w:rsidR="00C2797B"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40645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ABA92"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F45978"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190FB0"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B8429"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8A2610"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E2EF62" w14:textId="77777777" w:rsidR="00C2797B" w:rsidRDefault="00000000">
            <w:pPr>
              <w:keepNext/>
              <w:keepLines/>
              <w:spacing w:after="0" w:line="240" w:lineRule="auto"/>
              <w:jc w:val="center"/>
            </w:pPr>
            <w:r>
              <w:rPr>
                <w:b/>
                <w:sz w:val="18"/>
              </w:rPr>
              <w:t>Indeks (%)</w:t>
            </w:r>
          </w:p>
        </w:tc>
      </w:tr>
      <w:tr w:rsidR="00C2797B" w14:paraId="28CF9C21" w14:textId="77777777">
        <w:tblPrEx>
          <w:tblCellMar>
            <w:top w:w="0" w:type="dxa"/>
            <w:bottom w:w="0" w:type="dxa"/>
          </w:tblCellMar>
        </w:tblPrEx>
        <w:trPr>
          <w:cantSplit/>
          <w:trHeight w:val="560"/>
        </w:trPr>
        <w:tc>
          <w:tcPr>
            <w:tcW w:w="700" w:type="dxa"/>
            <w:tcMar>
              <w:top w:w="0" w:type="dxa"/>
              <w:bottom w:w="0" w:type="dxa"/>
            </w:tcMar>
            <w:vAlign w:val="center"/>
          </w:tcPr>
          <w:p w14:paraId="1FA8742B" w14:textId="77777777" w:rsidR="00C2797B" w:rsidRDefault="00000000">
            <w:pPr>
              <w:keepNext/>
              <w:keepLines/>
              <w:spacing w:after="0" w:line="240" w:lineRule="auto"/>
            </w:pPr>
            <w:r>
              <w:rPr>
                <w:sz w:val="18"/>
              </w:rPr>
              <w:t>3295</w:t>
            </w:r>
          </w:p>
        </w:tc>
        <w:tc>
          <w:tcPr>
            <w:tcW w:w="3180" w:type="dxa"/>
            <w:tcMar>
              <w:top w:w="0" w:type="dxa"/>
              <w:bottom w:w="0" w:type="dxa"/>
            </w:tcMar>
            <w:vAlign w:val="center"/>
          </w:tcPr>
          <w:p w14:paraId="1C7D65F2" w14:textId="77777777" w:rsidR="00C2797B" w:rsidRDefault="00000000">
            <w:pPr>
              <w:keepNext/>
              <w:keepLines/>
              <w:spacing w:after="0" w:line="240" w:lineRule="auto"/>
            </w:pPr>
            <w:r>
              <w:rPr>
                <w:sz w:val="18"/>
              </w:rPr>
              <w:t>Pristojbe i naknade</w:t>
            </w:r>
          </w:p>
        </w:tc>
        <w:tc>
          <w:tcPr>
            <w:tcW w:w="700" w:type="dxa"/>
            <w:tcMar>
              <w:top w:w="0" w:type="dxa"/>
              <w:bottom w:w="0" w:type="dxa"/>
            </w:tcMar>
            <w:vAlign w:val="center"/>
          </w:tcPr>
          <w:p w14:paraId="11BCC3F7" w14:textId="77777777" w:rsidR="00C2797B" w:rsidRDefault="00000000">
            <w:pPr>
              <w:keepNext/>
              <w:keepLines/>
              <w:spacing w:after="0" w:line="240" w:lineRule="auto"/>
            </w:pPr>
            <w:r>
              <w:rPr>
                <w:sz w:val="18"/>
              </w:rPr>
              <w:t>3295</w:t>
            </w:r>
          </w:p>
        </w:tc>
        <w:tc>
          <w:tcPr>
            <w:tcW w:w="1860" w:type="dxa"/>
            <w:tcMar>
              <w:top w:w="0" w:type="dxa"/>
              <w:bottom w:w="0" w:type="dxa"/>
            </w:tcMar>
            <w:vAlign w:val="center"/>
          </w:tcPr>
          <w:p w14:paraId="11B6A669" w14:textId="77777777" w:rsidR="00C2797B" w:rsidRDefault="00000000">
            <w:pPr>
              <w:keepNext/>
              <w:keepLines/>
              <w:spacing w:after="0" w:line="240" w:lineRule="auto"/>
              <w:jc w:val="right"/>
            </w:pPr>
            <w:r>
              <w:rPr>
                <w:sz w:val="18"/>
              </w:rPr>
              <w:t>314,51</w:t>
            </w:r>
          </w:p>
        </w:tc>
        <w:tc>
          <w:tcPr>
            <w:tcW w:w="1860" w:type="dxa"/>
            <w:tcMar>
              <w:top w:w="0" w:type="dxa"/>
              <w:bottom w:w="0" w:type="dxa"/>
            </w:tcMar>
            <w:vAlign w:val="center"/>
          </w:tcPr>
          <w:p w14:paraId="271ACF28" w14:textId="77777777" w:rsidR="00C2797B" w:rsidRDefault="00000000">
            <w:pPr>
              <w:keepNext/>
              <w:keepLines/>
              <w:spacing w:after="0" w:line="240" w:lineRule="auto"/>
              <w:jc w:val="right"/>
            </w:pPr>
            <w:r>
              <w:rPr>
                <w:sz w:val="18"/>
              </w:rPr>
              <w:t>6.535,77</w:t>
            </w:r>
          </w:p>
        </w:tc>
        <w:tc>
          <w:tcPr>
            <w:tcW w:w="700" w:type="dxa"/>
            <w:tcMar>
              <w:top w:w="0" w:type="dxa"/>
              <w:bottom w:w="0" w:type="dxa"/>
            </w:tcMar>
            <w:vAlign w:val="center"/>
          </w:tcPr>
          <w:p w14:paraId="4A89F02C" w14:textId="77777777" w:rsidR="00C2797B" w:rsidRDefault="00000000">
            <w:pPr>
              <w:keepNext/>
              <w:keepLines/>
              <w:spacing w:after="0" w:line="240" w:lineRule="auto"/>
              <w:jc w:val="right"/>
            </w:pPr>
            <w:r>
              <w:rPr>
                <w:sz w:val="18"/>
              </w:rPr>
              <w:t>2078,1</w:t>
            </w:r>
          </w:p>
        </w:tc>
      </w:tr>
    </w:tbl>
    <w:p w14:paraId="3FA57727" w14:textId="77777777" w:rsidR="00C2797B" w:rsidRDefault="00C2797B">
      <w:pPr>
        <w:spacing w:after="0"/>
      </w:pPr>
    </w:p>
    <w:p w14:paraId="49D8F2DA" w14:textId="77777777" w:rsidR="00C2797B" w:rsidRDefault="00000000">
      <w:r>
        <w:t>Rashodi za pristojbe i naknade (šifra 3295) ostvareni su u iznosu od 6.535,77 EUR sa indeksom od 2078,1 u odnosu na prošlu godinu kad su ostvareni sa 314,51EUR.</w:t>
      </w:r>
      <w:r>
        <w:br/>
        <w:t>Razlog ovom velikom povećanju je knjiženje naknada za naplatu 1% prihoda od poreza na dohodak na ovaj konto (3295), u odnosu na prošle godine kad smo knjižili na drugi konto.</w:t>
      </w:r>
    </w:p>
    <w:p w14:paraId="22E96D50" w14:textId="77777777" w:rsidR="00C2797B" w:rsidRDefault="00000000">
      <w:r>
        <w:t> </w:t>
      </w:r>
    </w:p>
    <w:p w14:paraId="701360EA" w14:textId="77777777" w:rsidR="00C2797B" w:rsidRDefault="00000000">
      <w:r>
        <w:br/>
      </w:r>
    </w:p>
    <w:p w14:paraId="3279DC75" w14:textId="77777777" w:rsidR="00C2797B" w:rsidRDefault="00C2797B"/>
    <w:p w14:paraId="080B3A44" w14:textId="77777777" w:rsidR="00C2797B"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FA1BB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6FA4D"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7D2D45"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E8CFB"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335A8"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1E118C"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40572" w14:textId="77777777" w:rsidR="00C2797B" w:rsidRDefault="00000000">
            <w:pPr>
              <w:keepNext/>
              <w:keepLines/>
              <w:spacing w:after="0" w:line="240" w:lineRule="auto"/>
              <w:jc w:val="center"/>
            </w:pPr>
            <w:r>
              <w:rPr>
                <w:b/>
                <w:sz w:val="18"/>
              </w:rPr>
              <w:t>Indeks (%)</w:t>
            </w:r>
          </w:p>
        </w:tc>
      </w:tr>
      <w:tr w:rsidR="00C2797B" w14:paraId="143B102C" w14:textId="77777777">
        <w:tblPrEx>
          <w:tblCellMar>
            <w:top w:w="0" w:type="dxa"/>
            <w:bottom w:w="0" w:type="dxa"/>
          </w:tblCellMar>
        </w:tblPrEx>
        <w:trPr>
          <w:cantSplit/>
          <w:trHeight w:val="560"/>
        </w:trPr>
        <w:tc>
          <w:tcPr>
            <w:tcW w:w="700" w:type="dxa"/>
            <w:tcMar>
              <w:top w:w="0" w:type="dxa"/>
              <w:bottom w:w="0" w:type="dxa"/>
            </w:tcMar>
            <w:vAlign w:val="center"/>
          </w:tcPr>
          <w:p w14:paraId="6A98B7F3" w14:textId="77777777" w:rsidR="00C2797B" w:rsidRDefault="00000000">
            <w:pPr>
              <w:keepNext/>
              <w:keepLines/>
              <w:spacing w:after="0" w:line="240" w:lineRule="auto"/>
            </w:pPr>
            <w:r>
              <w:rPr>
                <w:sz w:val="18"/>
              </w:rPr>
              <w:t>342</w:t>
            </w:r>
          </w:p>
        </w:tc>
        <w:tc>
          <w:tcPr>
            <w:tcW w:w="3180" w:type="dxa"/>
            <w:tcMar>
              <w:top w:w="0" w:type="dxa"/>
              <w:bottom w:w="0" w:type="dxa"/>
            </w:tcMar>
            <w:vAlign w:val="center"/>
          </w:tcPr>
          <w:p w14:paraId="7FD5C63B" w14:textId="77777777" w:rsidR="00C2797B"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4722C749" w14:textId="77777777" w:rsidR="00C2797B" w:rsidRDefault="00000000">
            <w:pPr>
              <w:keepNext/>
              <w:keepLines/>
              <w:spacing w:after="0" w:line="240" w:lineRule="auto"/>
            </w:pPr>
            <w:r>
              <w:rPr>
                <w:sz w:val="18"/>
              </w:rPr>
              <w:t>342</w:t>
            </w:r>
          </w:p>
        </w:tc>
        <w:tc>
          <w:tcPr>
            <w:tcW w:w="1860" w:type="dxa"/>
            <w:tcMar>
              <w:top w:w="0" w:type="dxa"/>
              <w:bottom w:w="0" w:type="dxa"/>
            </w:tcMar>
            <w:vAlign w:val="center"/>
          </w:tcPr>
          <w:p w14:paraId="1C440D1E" w14:textId="77777777" w:rsidR="00C2797B" w:rsidRDefault="00000000">
            <w:pPr>
              <w:keepNext/>
              <w:keepLines/>
              <w:spacing w:after="0" w:line="240" w:lineRule="auto"/>
              <w:jc w:val="right"/>
            </w:pPr>
            <w:r>
              <w:rPr>
                <w:sz w:val="18"/>
              </w:rPr>
              <w:t>2.058,85</w:t>
            </w:r>
          </w:p>
        </w:tc>
        <w:tc>
          <w:tcPr>
            <w:tcW w:w="1860" w:type="dxa"/>
            <w:tcMar>
              <w:top w:w="0" w:type="dxa"/>
              <w:bottom w:w="0" w:type="dxa"/>
            </w:tcMar>
            <w:vAlign w:val="center"/>
          </w:tcPr>
          <w:p w14:paraId="79B80A51" w14:textId="77777777" w:rsidR="00C2797B" w:rsidRDefault="00000000">
            <w:pPr>
              <w:keepNext/>
              <w:keepLines/>
              <w:spacing w:after="0" w:line="240" w:lineRule="auto"/>
              <w:jc w:val="right"/>
            </w:pPr>
            <w:r>
              <w:rPr>
                <w:sz w:val="18"/>
              </w:rPr>
              <w:t>5.013,09</w:t>
            </w:r>
          </w:p>
        </w:tc>
        <w:tc>
          <w:tcPr>
            <w:tcW w:w="700" w:type="dxa"/>
            <w:tcMar>
              <w:top w:w="0" w:type="dxa"/>
              <w:bottom w:w="0" w:type="dxa"/>
            </w:tcMar>
            <w:vAlign w:val="center"/>
          </w:tcPr>
          <w:p w14:paraId="2470BE23" w14:textId="77777777" w:rsidR="00C2797B" w:rsidRDefault="00000000">
            <w:pPr>
              <w:keepNext/>
              <w:keepLines/>
              <w:spacing w:after="0" w:line="240" w:lineRule="auto"/>
              <w:jc w:val="right"/>
            </w:pPr>
            <w:r>
              <w:rPr>
                <w:sz w:val="18"/>
              </w:rPr>
              <w:t>243,5</w:t>
            </w:r>
          </w:p>
        </w:tc>
      </w:tr>
    </w:tbl>
    <w:p w14:paraId="38E81817" w14:textId="77777777" w:rsidR="00C2797B" w:rsidRDefault="00C2797B">
      <w:pPr>
        <w:spacing w:after="0"/>
      </w:pPr>
    </w:p>
    <w:p w14:paraId="3AF0F55C" w14:textId="77777777" w:rsidR="00C2797B" w:rsidRDefault="00000000">
      <w:r>
        <w:t>Rashodi za kamate za primljene kredite i zajmove (šifre 3421 do 3428) šifra 342 ostvareni su sa 5.013,09 EUR odnosno sa indeksom od 243,5 u odnosu na prošlu godinu u istom izvještajnom razdoblju kad su ostvareni u iznosu od 2.058,85 EUR.</w:t>
      </w:r>
    </w:p>
    <w:p w14:paraId="49019D71" w14:textId="77777777" w:rsidR="00C2797B" w:rsidRDefault="00000000">
      <w:r>
        <w:t>Razlog povećanja ovih rashoda je uzimanje novog dugoročnog kredita kod Istarske kreditne banke Umag i plaćanje redovne kamate (na mjesečnoj razini).</w:t>
      </w:r>
    </w:p>
    <w:p w14:paraId="5E01DBC7" w14:textId="77777777" w:rsidR="00C2797B" w:rsidRDefault="00C2797B"/>
    <w:p w14:paraId="0859586F" w14:textId="77777777" w:rsidR="00C2797B"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3DBEF2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24674"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75CFD1"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2728D"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E134CF"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B3BBC6"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3754DA" w14:textId="77777777" w:rsidR="00C2797B" w:rsidRDefault="00000000">
            <w:pPr>
              <w:keepNext/>
              <w:keepLines/>
              <w:spacing w:after="0" w:line="240" w:lineRule="auto"/>
              <w:jc w:val="center"/>
            </w:pPr>
            <w:r>
              <w:rPr>
                <w:b/>
                <w:sz w:val="18"/>
              </w:rPr>
              <w:t>Indeks (%)</w:t>
            </w:r>
          </w:p>
        </w:tc>
      </w:tr>
      <w:tr w:rsidR="00C2797B" w14:paraId="7C580671" w14:textId="77777777">
        <w:tblPrEx>
          <w:tblCellMar>
            <w:top w:w="0" w:type="dxa"/>
            <w:bottom w:w="0" w:type="dxa"/>
          </w:tblCellMar>
        </w:tblPrEx>
        <w:trPr>
          <w:cantSplit/>
          <w:trHeight w:val="560"/>
        </w:trPr>
        <w:tc>
          <w:tcPr>
            <w:tcW w:w="700" w:type="dxa"/>
            <w:tcMar>
              <w:top w:w="0" w:type="dxa"/>
              <w:bottom w:w="0" w:type="dxa"/>
            </w:tcMar>
            <w:vAlign w:val="center"/>
          </w:tcPr>
          <w:p w14:paraId="61637720" w14:textId="77777777" w:rsidR="00C2797B" w:rsidRDefault="00000000">
            <w:pPr>
              <w:keepNext/>
              <w:keepLines/>
              <w:spacing w:after="0" w:line="240" w:lineRule="auto"/>
            </w:pPr>
            <w:r>
              <w:rPr>
                <w:sz w:val="18"/>
              </w:rPr>
              <w:t>351</w:t>
            </w:r>
          </w:p>
        </w:tc>
        <w:tc>
          <w:tcPr>
            <w:tcW w:w="3180" w:type="dxa"/>
            <w:tcMar>
              <w:top w:w="0" w:type="dxa"/>
              <w:bottom w:w="0" w:type="dxa"/>
            </w:tcMar>
            <w:vAlign w:val="center"/>
          </w:tcPr>
          <w:p w14:paraId="3FDDF512" w14:textId="77777777" w:rsidR="00C2797B" w:rsidRDefault="00000000">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14:paraId="410F8357" w14:textId="77777777" w:rsidR="00C2797B" w:rsidRDefault="00000000">
            <w:pPr>
              <w:keepNext/>
              <w:keepLines/>
              <w:spacing w:after="0" w:line="240" w:lineRule="auto"/>
            </w:pPr>
            <w:r>
              <w:rPr>
                <w:sz w:val="18"/>
              </w:rPr>
              <w:t>351</w:t>
            </w:r>
          </w:p>
        </w:tc>
        <w:tc>
          <w:tcPr>
            <w:tcW w:w="1860" w:type="dxa"/>
            <w:tcMar>
              <w:top w:w="0" w:type="dxa"/>
              <w:bottom w:w="0" w:type="dxa"/>
            </w:tcMar>
            <w:vAlign w:val="center"/>
          </w:tcPr>
          <w:p w14:paraId="0B2E653E" w14:textId="77777777" w:rsidR="00C2797B" w:rsidRDefault="00000000">
            <w:pPr>
              <w:keepNext/>
              <w:keepLines/>
              <w:spacing w:after="0" w:line="240" w:lineRule="auto"/>
              <w:jc w:val="right"/>
            </w:pPr>
            <w:r>
              <w:rPr>
                <w:sz w:val="18"/>
              </w:rPr>
              <w:t>10.805,68</w:t>
            </w:r>
          </w:p>
        </w:tc>
        <w:tc>
          <w:tcPr>
            <w:tcW w:w="1860" w:type="dxa"/>
            <w:tcMar>
              <w:top w:w="0" w:type="dxa"/>
              <w:bottom w:w="0" w:type="dxa"/>
            </w:tcMar>
            <w:vAlign w:val="center"/>
          </w:tcPr>
          <w:p w14:paraId="0DEEBDB0" w14:textId="77777777" w:rsidR="00C2797B" w:rsidRDefault="00000000">
            <w:pPr>
              <w:keepNext/>
              <w:keepLines/>
              <w:spacing w:after="0" w:line="240" w:lineRule="auto"/>
              <w:jc w:val="right"/>
            </w:pPr>
            <w:r>
              <w:rPr>
                <w:sz w:val="18"/>
              </w:rPr>
              <w:t>18.068,48</w:t>
            </w:r>
          </w:p>
        </w:tc>
        <w:tc>
          <w:tcPr>
            <w:tcW w:w="700" w:type="dxa"/>
            <w:tcMar>
              <w:top w:w="0" w:type="dxa"/>
              <w:bottom w:w="0" w:type="dxa"/>
            </w:tcMar>
            <w:vAlign w:val="center"/>
          </w:tcPr>
          <w:p w14:paraId="1AEFCB54" w14:textId="77777777" w:rsidR="00C2797B" w:rsidRDefault="00000000">
            <w:pPr>
              <w:keepNext/>
              <w:keepLines/>
              <w:spacing w:after="0" w:line="240" w:lineRule="auto"/>
              <w:jc w:val="right"/>
            </w:pPr>
            <w:r>
              <w:rPr>
                <w:sz w:val="18"/>
              </w:rPr>
              <w:t>167,2</w:t>
            </w:r>
          </w:p>
        </w:tc>
      </w:tr>
    </w:tbl>
    <w:p w14:paraId="57FC0E57" w14:textId="77777777" w:rsidR="00C2797B" w:rsidRDefault="00C2797B">
      <w:pPr>
        <w:spacing w:after="0"/>
      </w:pPr>
    </w:p>
    <w:p w14:paraId="7BBF1205" w14:textId="77777777" w:rsidR="00C2797B" w:rsidRDefault="00000000">
      <w:r>
        <w:t>Subvencije kreditnim i ostalim financijskim institucijama i trgovačkim društvima u javnom sektoru (šifre 3511+3512) šifra 351 ostvarene su u iznosu od 18.068,48 EUR odnosno sa 67,2% više u odnosu na prošlu godinu u istom izvještajnom razdoblju kad su realizirane sa 10.805,68 EUR.</w:t>
      </w:r>
    </w:p>
    <w:p w14:paraId="6C2331AA" w14:textId="77777777" w:rsidR="00C2797B" w:rsidRDefault="00000000">
      <w:r>
        <w:t xml:space="preserve">Ove godine su isplaćene veće subvencije prema javno trgovačkom društvu </w:t>
      </w:r>
      <w:proofErr w:type="spellStart"/>
      <w:r>
        <w:t>PulaPrometu</w:t>
      </w:r>
      <w:proofErr w:type="spellEnd"/>
      <w:r>
        <w:t xml:space="preserve"> i prema komunalnom društvu Komunalac, sukladno njihovim zahtjevima i povećanim potrebama pokrića troškova poslovanja.</w:t>
      </w:r>
    </w:p>
    <w:p w14:paraId="1D353DAC" w14:textId="77777777" w:rsidR="00C2797B" w:rsidRDefault="00000000">
      <w:r>
        <w:br/>
        <w:t> </w:t>
      </w:r>
    </w:p>
    <w:p w14:paraId="1E8BAD27" w14:textId="77777777" w:rsidR="00C2797B" w:rsidRDefault="00C2797B"/>
    <w:p w14:paraId="6F7E7773" w14:textId="77777777" w:rsidR="00C2797B"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20A228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B95F27"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84360F"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1A9D97"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C6FEA"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FE377B"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A32A7F" w14:textId="77777777" w:rsidR="00C2797B" w:rsidRDefault="00000000">
            <w:pPr>
              <w:keepNext/>
              <w:keepLines/>
              <w:spacing w:after="0" w:line="240" w:lineRule="auto"/>
              <w:jc w:val="center"/>
            </w:pPr>
            <w:r>
              <w:rPr>
                <w:b/>
                <w:sz w:val="18"/>
              </w:rPr>
              <w:t>Indeks (%)</w:t>
            </w:r>
          </w:p>
        </w:tc>
      </w:tr>
      <w:tr w:rsidR="00C2797B" w14:paraId="7A139239" w14:textId="77777777">
        <w:tblPrEx>
          <w:tblCellMar>
            <w:top w:w="0" w:type="dxa"/>
            <w:bottom w:w="0" w:type="dxa"/>
          </w:tblCellMar>
        </w:tblPrEx>
        <w:trPr>
          <w:cantSplit/>
          <w:trHeight w:val="560"/>
        </w:trPr>
        <w:tc>
          <w:tcPr>
            <w:tcW w:w="700" w:type="dxa"/>
            <w:tcMar>
              <w:top w:w="0" w:type="dxa"/>
              <w:bottom w:w="0" w:type="dxa"/>
            </w:tcMar>
            <w:vAlign w:val="center"/>
          </w:tcPr>
          <w:p w14:paraId="07FA579B" w14:textId="77777777" w:rsidR="00C2797B" w:rsidRDefault="00000000">
            <w:pPr>
              <w:keepNext/>
              <w:keepLines/>
              <w:spacing w:after="0" w:line="240" w:lineRule="auto"/>
            </w:pPr>
            <w:r>
              <w:rPr>
                <w:sz w:val="18"/>
              </w:rPr>
              <w:t>37</w:t>
            </w:r>
          </w:p>
        </w:tc>
        <w:tc>
          <w:tcPr>
            <w:tcW w:w="3180" w:type="dxa"/>
            <w:tcMar>
              <w:top w:w="0" w:type="dxa"/>
              <w:bottom w:w="0" w:type="dxa"/>
            </w:tcMar>
            <w:vAlign w:val="center"/>
          </w:tcPr>
          <w:p w14:paraId="29FF997F" w14:textId="77777777" w:rsidR="00C2797B"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4DB05BDA" w14:textId="77777777" w:rsidR="00C2797B" w:rsidRDefault="00000000">
            <w:pPr>
              <w:keepNext/>
              <w:keepLines/>
              <w:spacing w:after="0" w:line="240" w:lineRule="auto"/>
            </w:pPr>
            <w:r>
              <w:rPr>
                <w:sz w:val="18"/>
              </w:rPr>
              <w:t>37</w:t>
            </w:r>
          </w:p>
        </w:tc>
        <w:tc>
          <w:tcPr>
            <w:tcW w:w="1860" w:type="dxa"/>
            <w:tcMar>
              <w:top w:w="0" w:type="dxa"/>
              <w:bottom w:w="0" w:type="dxa"/>
            </w:tcMar>
            <w:vAlign w:val="center"/>
          </w:tcPr>
          <w:p w14:paraId="01C09550" w14:textId="77777777" w:rsidR="00C2797B" w:rsidRDefault="00000000">
            <w:pPr>
              <w:keepNext/>
              <w:keepLines/>
              <w:spacing w:after="0" w:line="240" w:lineRule="auto"/>
              <w:jc w:val="right"/>
            </w:pPr>
            <w:r>
              <w:rPr>
                <w:sz w:val="18"/>
              </w:rPr>
              <w:t>46.797,11</w:t>
            </w:r>
          </w:p>
        </w:tc>
        <w:tc>
          <w:tcPr>
            <w:tcW w:w="1860" w:type="dxa"/>
            <w:tcMar>
              <w:top w:w="0" w:type="dxa"/>
              <w:bottom w:w="0" w:type="dxa"/>
            </w:tcMar>
            <w:vAlign w:val="center"/>
          </w:tcPr>
          <w:p w14:paraId="542CCCBE" w14:textId="77777777" w:rsidR="00C2797B" w:rsidRDefault="00000000">
            <w:pPr>
              <w:keepNext/>
              <w:keepLines/>
              <w:spacing w:after="0" w:line="240" w:lineRule="auto"/>
              <w:jc w:val="right"/>
            </w:pPr>
            <w:r>
              <w:rPr>
                <w:sz w:val="18"/>
              </w:rPr>
              <w:t>82.646,13</w:t>
            </w:r>
          </w:p>
        </w:tc>
        <w:tc>
          <w:tcPr>
            <w:tcW w:w="700" w:type="dxa"/>
            <w:tcMar>
              <w:top w:w="0" w:type="dxa"/>
              <w:bottom w:w="0" w:type="dxa"/>
            </w:tcMar>
            <w:vAlign w:val="center"/>
          </w:tcPr>
          <w:p w14:paraId="55B77515" w14:textId="77777777" w:rsidR="00C2797B" w:rsidRDefault="00000000">
            <w:pPr>
              <w:keepNext/>
              <w:keepLines/>
              <w:spacing w:after="0" w:line="240" w:lineRule="auto"/>
              <w:jc w:val="right"/>
            </w:pPr>
            <w:r>
              <w:rPr>
                <w:sz w:val="18"/>
              </w:rPr>
              <w:t>176,6</w:t>
            </w:r>
          </w:p>
        </w:tc>
      </w:tr>
    </w:tbl>
    <w:p w14:paraId="5BDD8E9D" w14:textId="77777777" w:rsidR="00C2797B" w:rsidRDefault="00C2797B">
      <w:pPr>
        <w:spacing w:after="0"/>
      </w:pPr>
    </w:p>
    <w:p w14:paraId="5DB50B41" w14:textId="77777777" w:rsidR="00C2797B" w:rsidRDefault="00000000">
      <w:r>
        <w:t xml:space="preserve">Naknade građanima i kućanstvima na temelju osiguranja i druge naknade (šifre 371+372) šifra 37 realizirane su u iznosu od 82.646,13 EUR što je 76,6% više u odnosu na prošlu </w:t>
      </w:r>
      <w:r>
        <w:lastRenderedPageBreak/>
        <w:t>godinu kad su isplaćene u iznosu od 46.797,11 EUR.</w:t>
      </w:r>
      <w:r>
        <w:br/>
      </w:r>
    </w:p>
    <w:p w14:paraId="057D9DE0" w14:textId="77777777" w:rsidR="00C2797B" w:rsidRDefault="00000000">
      <w:r>
        <w:t xml:space="preserve">Razlog povećanja </w:t>
      </w:r>
      <w:proofErr w:type="spellStart"/>
      <w:r>
        <w:t>navednih</w:t>
      </w:r>
      <w:proofErr w:type="spellEnd"/>
      <w:r>
        <w:t xml:space="preserve"> naknada je veći broj isplaćenih </w:t>
      </w:r>
      <w:proofErr w:type="spellStart"/>
      <w:r>
        <w:t>uskrsnica</w:t>
      </w:r>
      <w:proofErr w:type="spellEnd"/>
      <w:r>
        <w:t xml:space="preserve"> umirovljenicima i veći broj isplaćenih naknada za novorođenu djecu.</w:t>
      </w:r>
    </w:p>
    <w:p w14:paraId="3F1E4502" w14:textId="77777777" w:rsidR="00C2797B" w:rsidRDefault="00000000">
      <w:r>
        <w:t> </w:t>
      </w:r>
    </w:p>
    <w:p w14:paraId="074A4522" w14:textId="77777777" w:rsidR="00C2797B" w:rsidRDefault="00000000">
      <w:r>
        <w:br/>
        <w:t> </w:t>
      </w:r>
    </w:p>
    <w:p w14:paraId="474ACFF1" w14:textId="77777777" w:rsidR="00C2797B" w:rsidRDefault="00C2797B"/>
    <w:p w14:paraId="1C1818EF" w14:textId="77777777" w:rsidR="00C2797B"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05087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814E22"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9F48DD"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B304F"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392171"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C49E40"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F7F1EA" w14:textId="77777777" w:rsidR="00C2797B" w:rsidRDefault="00000000">
            <w:pPr>
              <w:keepNext/>
              <w:keepLines/>
              <w:spacing w:after="0" w:line="240" w:lineRule="auto"/>
              <w:jc w:val="center"/>
            </w:pPr>
            <w:r>
              <w:rPr>
                <w:b/>
                <w:sz w:val="18"/>
              </w:rPr>
              <w:t>Indeks (%)</w:t>
            </w:r>
          </w:p>
        </w:tc>
      </w:tr>
      <w:tr w:rsidR="00C2797B" w14:paraId="7E5C7A6E" w14:textId="77777777">
        <w:tblPrEx>
          <w:tblCellMar>
            <w:top w:w="0" w:type="dxa"/>
            <w:bottom w:w="0" w:type="dxa"/>
          </w:tblCellMar>
        </w:tblPrEx>
        <w:trPr>
          <w:cantSplit/>
          <w:trHeight w:val="560"/>
        </w:trPr>
        <w:tc>
          <w:tcPr>
            <w:tcW w:w="700" w:type="dxa"/>
            <w:tcMar>
              <w:top w:w="0" w:type="dxa"/>
              <w:bottom w:w="0" w:type="dxa"/>
            </w:tcMar>
            <w:vAlign w:val="center"/>
          </w:tcPr>
          <w:p w14:paraId="2FDC5DA9" w14:textId="77777777" w:rsidR="00C2797B" w:rsidRDefault="00000000">
            <w:pPr>
              <w:keepNext/>
              <w:keepLines/>
              <w:spacing w:after="0" w:line="240" w:lineRule="auto"/>
            </w:pPr>
            <w:r>
              <w:rPr>
                <w:sz w:val="18"/>
              </w:rPr>
              <w:t>7</w:t>
            </w:r>
          </w:p>
        </w:tc>
        <w:tc>
          <w:tcPr>
            <w:tcW w:w="3180" w:type="dxa"/>
            <w:tcMar>
              <w:top w:w="0" w:type="dxa"/>
              <w:bottom w:w="0" w:type="dxa"/>
            </w:tcMar>
            <w:vAlign w:val="center"/>
          </w:tcPr>
          <w:p w14:paraId="3401F988" w14:textId="77777777" w:rsidR="00C2797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CEA7C7" w14:textId="77777777" w:rsidR="00C2797B" w:rsidRDefault="00000000">
            <w:pPr>
              <w:keepNext/>
              <w:keepLines/>
              <w:spacing w:after="0" w:line="240" w:lineRule="auto"/>
            </w:pPr>
            <w:r>
              <w:rPr>
                <w:sz w:val="18"/>
              </w:rPr>
              <w:t>7</w:t>
            </w:r>
          </w:p>
        </w:tc>
        <w:tc>
          <w:tcPr>
            <w:tcW w:w="1860" w:type="dxa"/>
            <w:tcMar>
              <w:top w:w="0" w:type="dxa"/>
              <w:bottom w:w="0" w:type="dxa"/>
            </w:tcMar>
            <w:vAlign w:val="center"/>
          </w:tcPr>
          <w:p w14:paraId="7507612B" w14:textId="77777777" w:rsidR="00C2797B" w:rsidRDefault="00000000">
            <w:pPr>
              <w:keepNext/>
              <w:keepLines/>
              <w:spacing w:after="0" w:line="240" w:lineRule="auto"/>
              <w:jc w:val="right"/>
            </w:pPr>
            <w:r>
              <w:rPr>
                <w:sz w:val="18"/>
              </w:rPr>
              <w:t>220,69</w:t>
            </w:r>
          </w:p>
        </w:tc>
        <w:tc>
          <w:tcPr>
            <w:tcW w:w="1860" w:type="dxa"/>
            <w:tcMar>
              <w:top w:w="0" w:type="dxa"/>
              <w:bottom w:w="0" w:type="dxa"/>
            </w:tcMar>
            <w:vAlign w:val="center"/>
          </w:tcPr>
          <w:p w14:paraId="3727B3B2" w14:textId="77777777" w:rsidR="00C2797B" w:rsidRDefault="00000000">
            <w:pPr>
              <w:keepNext/>
              <w:keepLines/>
              <w:spacing w:after="0" w:line="240" w:lineRule="auto"/>
              <w:jc w:val="right"/>
            </w:pPr>
            <w:r>
              <w:rPr>
                <w:sz w:val="18"/>
              </w:rPr>
              <w:t>4.789,22</w:t>
            </w:r>
          </w:p>
        </w:tc>
        <w:tc>
          <w:tcPr>
            <w:tcW w:w="700" w:type="dxa"/>
            <w:tcMar>
              <w:top w:w="0" w:type="dxa"/>
              <w:bottom w:w="0" w:type="dxa"/>
            </w:tcMar>
            <w:vAlign w:val="center"/>
          </w:tcPr>
          <w:p w14:paraId="09257DEC" w14:textId="77777777" w:rsidR="00C2797B" w:rsidRDefault="00000000">
            <w:pPr>
              <w:keepNext/>
              <w:keepLines/>
              <w:spacing w:after="0" w:line="240" w:lineRule="auto"/>
              <w:jc w:val="right"/>
            </w:pPr>
            <w:r>
              <w:rPr>
                <w:sz w:val="18"/>
              </w:rPr>
              <w:t>2170,1</w:t>
            </w:r>
          </w:p>
        </w:tc>
      </w:tr>
    </w:tbl>
    <w:p w14:paraId="3CD1DAE7" w14:textId="77777777" w:rsidR="00C2797B" w:rsidRDefault="00C2797B">
      <w:pPr>
        <w:spacing w:after="0"/>
      </w:pPr>
    </w:p>
    <w:p w14:paraId="59C79D05" w14:textId="77777777" w:rsidR="00C2797B" w:rsidRDefault="00000000">
      <w:r>
        <w:t>Prihodi od prodaje nefinancijske imovine (šifre 71+72+73+74) šifra 7 realizirani su u iznosu od 4.789,22 što je indeks od 2170,1 u odnosu na prošlu godinu kad su realizirani prihodi sa 220,69 EUR. Razlog povećanja prihoda je prodaja jednog manjeg zemljišta.</w:t>
      </w:r>
      <w:r>
        <w:br/>
      </w:r>
    </w:p>
    <w:p w14:paraId="59DF9F22" w14:textId="77777777" w:rsidR="00C2797B" w:rsidRDefault="00000000">
      <w:r>
        <w:br/>
        <w:t> </w:t>
      </w:r>
    </w:p>
    <w:p w14:paraId="72E8BEC7" w14:textId="77777777" w:rsidR="00C2797B" w:rsidRDefault="00C2797B"/>
    <w:p w14:paraId="65EBD9EB" w14:textId="77777777" w:rsidR="00C2797B"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1CEE56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3EF81"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D7E741"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F75B8"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3C3CB"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DB4C8A"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142579" w14:textId="77777777" w:rsidR="00C2797B" w:rsidRDefault="00000000">
            <w:pPr>
              <w:keepNext/>
              <w:keepLines/>
              <w:spacing w:after="0" w:line="240" w:lineRule="auto"/>
              <w:jc w:val="center"/>
            </w:pPr>
            <w:r>
              <w:rPr>
                <w:b/>
                <w:sz w:val="18"/>
              </w:rPr>
              <w:t>Indeks (%)</w:t>
            </w:r>
          </w:p>
        </w:tc>
      </w:tr>
      <w:tr w:rsidR="00C2797B" w14:paraId="49E26FFA" w14:textId="77777777">
        <w:tblPrEx>
          <w:tblCellMar>
            <w:top w:w="0" w:type="dxa"/>
            <w:bottom w:w="0" w:type="dxa"/>
          </w:tblCellMar>
        </w:tblPrEx>
        <w:trPr>
          <w:cantSplit/>
          <w:trHeight w:val="560"/>
        </w:trPr>
        <w:tc>
          <w:tcPr>
            <w:tcW w:w="700" w:type="dxa"/>
            <w:tcMar>
              <w:top w:w="0" w:type="dxa"/>
              <w:bottom w:w="0" w:type="dxa"/>
            </w:tcMar>
            <w:vAlign w:val="center"/>
          </w:tcPr>
          <w:p w14:paraId="7E7AE630" w14:textId="77777777" w:rsidR="00C2797B" w:rsidRDefault="00000000">
            <w:pPr>
              <w:keepNext/>
              <w:keepLines/>
              <w:spacing w:after="0" w:line="240" w:lineRule="auto"/>
            </w:pPr>
            <w:r>
              <w:rPr>
                <w:sz w:val="18"/>
              </w:rPr>
              <w:t>4</w:t>
            </w:r>
          </w:p>
        </w:tc>
        <w:tc>
          <w:tcPr>
            <w:tcW w:w="3180" w:type="dxa"/>
            <w:tcMar>
              <w:top w:w="0" w:type="dxa"/>
              <w:bottom w:w="0" w:type="dxa"/>
            </w:tcMar>
            <w:vAlign w:val="center"/>
          </w:tcPr>
          <w:p w14:paraId="4BDDBB85" w14:textId="77777777" w:rsidR="00C2797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46FAF5E" w14:textId="77777777" w:rsidR="00C2797B" w:rsidRDefault="00000000">
            <w:pPr>
              <w:keepNext/>
              <w:keepLines/>
              <w:spacing w:after="0" w:line="240" w:lineRule="auto"/>
            </w:pPr>
            <w:r>
              <w:rPr>
                <w:sz w:val="18"/>
              </w:rPr>
              <w:t>4</w:t>
            </w:r>
          </w:p>
        </w:tc>
        <w:tc>
          <w:tcPr>
            <w:tcW w:w="1860" w:type="dxa"/>
            <w:tcMar>
              <w:top w:w="0" w:type="dxa"/>
              <w:bottom w:w="0" w:type="dxa"/>
            </w:tcMar>
            <w:vAlign w:val="center"/>
          </w:tcPr>
          <w:p w14:paraId="1BA758A8" w14:textId="77777777" w:rsidR="00C2797B" w:rsidRDefault="00000000">
            <w:pPr>
              <w:keepNext/>
              <w:keepLines/>
              <w:spacing w:after="0" w:line="240" w:lineRule="auto"/>
              <w:jc w:val="right"/>
            </w:pPr>
            <w:r>
              <w:rPr>
                <w:sz w:val="18"/>
              </w:rPr>
              <w:t>1.116.312,18</w:t>
            </w:r>
          </w:p>
        </w:tc>
        <w:tc>
          <w:tcPr>
            <w:tcW w:w="1860" w:type="dxa"/>
            <w:tcMar>
              <w:top w:w="0" w:type="dxa"/>
              <w:bottom w:w="0" w:type="dxa"/>
            </w:tcMar>
            <w:vAlign w:val="center"/>
          </w:tcPr>
          <w:p w14:paraId="7E00DEA6" w14:textId="77777777" w:rsidR="00C2797B" w:rsidRDefault="00000000">
            <w:pPr>
              <w:keepNext/>
              <w:keepLines/>
              <w:spacing w:after="0" w:line="240" w:lineRule="auto"/>
              <w:jc w:val="right"/>
            </w:pPr>
            <w:r>
              <w:rPr>
                <w:sz w:val="18"/>
              </w:rPr>
              <w:t>110.266,94</w:t>
            </w:r>
          </w:p>
        </w:tc>
        <w:tc>
          <w:tcPr>
            <w:tcW w:w="700" w:type="dxa"/>
            <w:tcMar>
              <w:top w:w="0" w:type="dxa"/>
              <w:bottom w:w="0" w:type="dxa"/>
            </w:tcMar>
            <w:vAlign w:val="center"/>
          </w:tcPr>
          <w:p w14:paraId="026A7A4C" w14:textId="77777777" w:rsidR="00C2797B" w:rsidRDefault="00000000">
            <w:pPr>
              <w:keepNext/>
              <w:keepLines/>
              <w:spacing w:after="0" w:line="240" w:lineRule="auto"/>
              <w:jc w:val="right"/>
            </w:pPr>
            <w:r>
              <w:rPr>
                <w:sz w:val="18"/>
              </w:rPr>
              <w:t>9,9</w:t>
            </w:r>
          </w:p>
        </w:tc>
      </w:tr>
    </w:tbl>
    <w:p w14:paraId="0EEEB6C6" w14:textId="77777777" w:rsidR="00C2797B" w:rsidRDefault="00C2797B">
      <w:pPr>
        <w:spacing w:after="0"/>
      </w:pPr>
    </w:p>
    <w:p w14:paraId="76E67217" w14:textId="77777777" w:rsidR="00C2797B" w:rsidRDefault="00000000">
      <w:r>
        <w:t>U izvještajnom razdoblju od 1. siječnja do 31. ožujka 2026. godine Općina Fažana je imala realizaciju rashoda za nabavu nefinancijske imovine (šifre 41+42+43+44+45) (ŠIFRA 4 ) u iznosu od 110.266,94 EUR što predstavlja smanjenje istih za 90,1% u odnosu na prošlu godinu u istom izvještajnom razdoblju kad su realizirani u iznosu od 1.116.312,18 EUR.</w:t>
      </w:r>
      <w:r>
        <w:br/>
        <w:t>Razlog značajnijeg smanjenja rashoda za nabavu nefinancijske imovine je taj što Općina početkom ove godine nije imala značajnijih investicija kao što je to bilo u 2025. godini.</w:t>
      </w:r>
      <w:r>
        <w:br/>
      </w:r>
      <w:r>
        <w:br/>
      </w:r>
    </w:p>
    <w:p w14:paraId="01B3C3FC" w14:textId="77777777" w:rsidR="00C2797B" w:rsidRDefault="00000000">
      <w:r>
        <w:br/>
        <w:t> </w:t>
      </w:r>
    </w:p>
    <w:p w14:paraId="6872561D" w14:textId="77777777" w:rsidR="00C2797B" w:rsidRDefault="00C2797B"/>
    <w:p w14:paraId="055E7FE4" w14:textId="77777777" w:rsidR="00C2797B"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4AEC47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D00C8"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F3BFEA"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643E2"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700B5"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22DDCB"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A39DDF" w14:textId="77777777" w:rsidR="00C2797B" w:rsidRDefault="00000000">
            <w:pPr>
              <w:keepNext/>
              <w:keepLines/>
              <w:spacing w:after="0" w:line="240" w:lineRule="auto"/>
              <w:jc w:val="center"/>
            </w:pPr>
            <w:r>
              <w:rPr>
                <w:b/>
                <w:sz w:val="18"/>
              </w:rPr>
              <w:t>Indeks (%)</w:t>
            </w:r>
          </w:p>
        </w:tc>
      </w:tr>
      <w:tr w:rsidR="00C2797B" w14:paraId="358815B6" w14:textId="77777777">
        <w:tblPrEx>
          <w:tblCellMar>
            <w:top w:w="0" w:type="dxa"/>
            <w:bottom w:w="0" w:type="dxa"/>
          </w:tblCellMar>
        </w:tblPrEx>
        <w:trPr>
          <w:cantSplit/>
          <w:trHeight w:val="560"/>
        </w:trPr>
        <w:tc>
          <w:tcPr>
            <w:tcW w:w="700" w:type="dxa"/>
            <w:tcMar>
              <w:top w:w="0" w:type="dxa"/>
              <w:bottom w:w="0" w:type="dxa"/>
            </w:tcMar>
            <w:vAlign w:val="center"/>
          </w:tcPr>
          <w:p w14:paraId="658D8036" w14:textId="77777777" w:rsidR="00C2797B" w:rsidRDefault="00000000">
            <w:pPr>
              <w:keepNext/>
              <w:keepLines/>
              <w:spacing w:after="0" w:line="240" w:lineRule="auto"/>
            </w:pPr>
            <w:r>
              <w:rPr>
                <w:sz w:val="18"/>
              </w:rPr>
              <w:t>42</w:t>
            </w:r>
          </w:p>
        </w:tc>
        <w:tc>
          <w:tcPr>
            <w:tcW w:w="3180" w:type="dxa"/>
            <w:tcMar>
              <w:top w:w="0" w:type="dxa"/>
              <w:bottom w:w="0" w:type="dxa"/>
            </w:tcMar>
            <w:vAlign w:val="center"/>
          </w:tcPr>
          <w:p w14:paraId="007C87CA" w14:textId="77777777" w:rsidR="00C2797B"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447200A3" w14:textId="77777777" w:rsidR="00C2797B" w:rsidRDefault="00000000">
            <w:pPr>
              <w:keepNext/>
              <w:keepLines/>
              <w:spacing w:after="0" w:line="240" w:lineRule="auto"/>
            </w:pPr>
            <w:r>
              <w:rPr>
                <w:sz w:val="18"/>
              </w:rPr>
              <w:t>42</w:t>
            </w:r>
          </w:p>
        </w:tc>
        <w:tc>
          <w:tcPr>
            <w:tcW w:w="1860" w:type="dxa"/>
            <w:tcMar>
              <w:top w:w="0" w:type="dxa"/>
              <w:bottom w:w="0" w:type="dxa"/>
            </w:tcMar>
            <w:vAlign w:val="center"/>
          </w:tcPr>
          <w:p w14:paraId="648F4627" w14:textId="77777777" w:rsidR="00C2797B" w:rsidRDefault="00000000">
            <w:pPr>
              <w:keepNext/>
              <w:keepLines/>
              <w:spacing w:after="0" w:line="240" w:lineRule="auto"/>
              <w:jc w:val="right"/>
            </w:pPr>
            <w:r>
              <w:rPr>
                <w:sz w:val="18"/>
              </w:rPr>
              <w:t>1.116.312,18</w:t>
            </w:r>
          </w:p>
        </w:tc>
        <w:tc>
          <w:tcPr>
            <w:tcW w:w="1860" w:type="dxa"/>
            <w:tcMar>
              <w:top w:w="0" w:type="dxa"/>
              <w:bottom w:w="0" w:type="dxa"/>
            </w:tcMar>
            <w:vAlign w:val="center"/>
          </w:tcPr>
          <w:p w14:paraId="678342C6" w14:textId="77777777" w:rsidR="00C2797B" w:rsidRDefault="00000000">
            <w:pPr>
              <w:keepNext/>
              <w:keepLines/>
              <w:spacing w:after="0" w:line="240" w:lineRule="auto"/>
              <w:jc w:val="right"/>
            </w:pPr>
            <w:r>
              <w:rPr>
                <w:sz w:val="18"/>
              </w:rPr>
              <w:t>55.861,94</w:t>
            </w:r>
          </w:p>
        </w:tc>
        <w:tc>
          <w:tcPr>
            <w:tcW w:w="700" w:type="dxa"/>
            <w:tcMar>
              <w:top w:w="0" w:type="dxa"/>
              <w:bottom w:w="0" w:type="dxa"/>
            </w:tcMar>
            <w:vAlign w:val="center"/>
          </w:tcPr>
          <w:p w14:paraId="31A58264" w14:textId="77777777" w:rsidR="00C2797B" w:rsidRDefault="00000000">
            <w:pPr>
              <w:keepNext/>
              <w:keepLines/>
              <w:spacing w:after="0" w:line="240" w:lineRule="auto"/>
              <w:jc w:val="right"/>
            </w:pPr>
            <w:r>
              <w:rPr>
                <w:sz w:val="18"/>
              </w:rPr>
              <w:t>5,0</w:t>
            </w:r>
          </w:p>
        </w:tc>
      </w:tr>
    </w:tbl>
    <w:p w14:paraId="40B5C9B9" w14:textId="77777777" w:rsidR="00C2797B" w:rsidRDefault="00C2797B">
      <w:pPr>
        <w:spacing w:after="0"/>
      </w:pPr>
    </w:p>
    <w:p w14:paraId="1908998C" w14:textId="77777777" w:rsidR="00C2797B" w:rsidRDefault="00000000">
      <w:r>
        <w:t>Rashodi za nabavu proizvedene dugotrajne imovine (šifre 421+422+423+424+425+426) šifra 42 ostvareni su u iznosu od 55.861,94 EUR što je smanjenje za 95% u odnosu na prošlu godinu u istom izvještajnom razdoblju kad su realizirani sa 1.116.312,18 EUR.  Razlog smanjenja prethodno pojašnjen.</w:t>
      </w:r>
    </w:p>
    <w:p w14:paraId="79F75371" w14:textId="77777777" w:rsidR="00C2797B" w:rsidRDefault="00C2797B"/>
    <w:p w14:paraId="2049101C" w14:textId="77777777" w:rsidR="00C2797B"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075C6C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FBD7F7"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98F7BF"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652C22"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5AF4B6"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6AB438"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90BAD5" w14:textId="77777777" w:rsidR="00C2797B" w:rsidRDefault="00000000">
            <w:pPr>
              <w:keepNext/>
              <w:keepLines/>
              <w:spacing w:after="0" w:line="240" w:lineRule="auto"/>
              <w:jc w:val="center"/>
            </w:pPr>
            <w:r>
              <w:rPr>
                <w:b/>
                <w:sz w:val="18"/>
              </w:rPr>
              <w:t>Indeks (%)</w:t>
            </w:r>
          </w:p>
        </w:tc>
      </w:tr>
      <w:tr w:rsidR="00C2797B" w14:paraId="28E92E5D" w14:textId="77777777">
        <w:tblPrEx>
          <w:tblCellMar>
            <w:top w:w="0" w:type="dxa"/>
            <w:bottom w:w="0" w:type="dxa"/>
          </w:tblCellMar>
        </w:tblPrEx>
        <w:trPr>
          <w:cantSplit/>
          <w:trHeight w:val="560"/>
        </w:trPr>
        <w:tc>
          <w:tcPr>
            <w:tcW w:w="700" w:type="dxa"/>
            <w:tcMar>
              <w:top w:w="0" w:type="dxa"/>
              <w:bottom w:w="0" w:type="dxa"/>
            </w:tcMar>
            <w:vAlign w:val="center"/>
          </w:tcPr>
          <w:p w14:paraId="7FAFACE0" w14:textId="77777777" w:rsidR="00C2797B" w:rsidRDefault="00000000">
            <w:pPr>
              <w:keepNext/>
              <w:keepLines/>
              <w:spacing w:after="0" w:line="240" w:lineRule="auto"/>
            </w:pPr>
            <w:r>
              <w:rPr>
                <w:sz w:val="18"/>
              </w:rPr>
              <w:t>8</w:t>
            </w:r>
          </w:p>
        </w:tc>
        <w:tc>
          <w:tcPr>
            <w:tcW w:w="3180" w:type="dxa"/>
            <w:tcMar>
              <w:top w:w="0" w:type="dxa"/>
              <w:bottom w:w="0" w:type="dxa"/>
            </w:tcMar>
            <w:vAlign w:val="center"/>
          </w:tcPr>
          <w:p w14:paraId="1188111A" w14:textId="77777777" w:rsidR="00C2797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C04D283" w14:textId="77777777" w:rsidR="00C2797B" w:rsidRDefault="00000000">
            <w:pPr>
              <w:keepNext/>
              <w:keepLines/>
              <w:spacing w:after="0" w:line="240" w:lineRule="auto"/>
            </w:pPr>
            <w:r>
              <w:rPr>
                <w:sz w:val="18"/>
              </w:rPr>
              <w:t>8</w:t>
            </w:r>
          </w:p>
        </w:tc>
        <w:tc>
          <w:tcPr>
            <w:tcW w:w="1860" w:type="dxa"/>
            <w:tcMar>
              <w:top w:w="0" w:type="dxa"/>
              <w:bottom w:w="0" w:type="dxa"/>
            </w:tcMar>
            <w:vAlign w:val="center"/>
          </w:tcPr>
          <w:p w14:paraId="500CAAAE" w14:textId="77777777" w:rsidR="00C2797B" w:rsidRDefault="00000000">
            <w:pPr>
              <w:keepNext/>
              <w:keepLines/>
              <w:spacing w:after="0" w:line="240" w:lineRule="auto"/>
              <w:jc w:val="right"/>
            </w:pPr>
            <w:r>
              <w:rPr>
                <w:sz w:val="18"/>
              </w:rPr>
              <w:t>0,00</w:t>
            </w:r>
          </w:p>
        </w:tc>
        <w:tc>
          <w:tcPr>
            <w:tcW w:w="1860" w:type="dxa"/>
            <w:tcMar>
              <w:top w:w="0" w:type="dxa"/>
              <w:bottom w:w="0" w:type="dxa"/>
            </w:tcMar>
            <w:vAlign w:val="center"/>
          </w:tcPr>
          <w:p w14:paraId="10FCACCE" w14:textId="77777777" w:rsidR="00C2797B" w:rsidRDefault="00000000">
            <w:pPr>
              <w:keepNext/>
              <w:keepLines/>
              <w:spacing w:after="0" w:line="240" w:lineRule="auto"/>
              <w:jc w:val="right"/>
            </w:pPr>
            <w:r>
              <w:rPr>
                <w:sz w:val="18"/>
              </w:rPr>
              <w:t>0,00</w:t>
            </w:r>
          </w:p>
        </w:tc>
        <w:tc>
          <w:tcPr>
            <w:tcW w:w="700" w:type="dxa"/>
            <w:tcMar>
              <w:top w:w="0" w:type="dxa"/>
              <w:bottom w:w="0" w:type="dxa"/>
            </w:tcMar>
            <w:vAlign w:val="center"/>
          </w:tcPr>
          <w:p w14:paraId="487E1B46" w14:textId="77777777" w:rsidR="00C2797B" w:rsidRDefault="00000000">
            <w:pPr>
              <w:keepNext/>
              <w:keepLines/>
              <w:spacing w:after="0" w:line="240" w:lineRule="auto"/>
              <w:jc w:val="right"/>
            </w:pPr>
            <w:r>
              <w:rPr>
                <w:sz w:val="18"/>
              </w:rPr>
              <w:t>-</w:t>
            </w:r>
          </w:p>
        </w:tc>
      </w:tr>
    </w:tbl>
    <w:p w14:paraId="14A468C6" w14:textId="77777777" w:rsidR="00C2797B" w:rsidRDefault="00C2797B">
      <w:pPr>
        <w:spacing w:after="0"/>
      </w:pPr>
    </w:p>
    <w:p w14:paraId="0254363F" w14:textId="77777777" w:rsidR="00C2797B" w:rsidRDefault="00000000">
      <w:r>
        <w:t>U izvještajnom razdoblju od 1. siječnja do 31. ožujka 2026. godine Općina Fažana je nije imala realizaciju Primitaka od financijske imovine i zaduživanja (šifre 81+82+83+84+85).</w:t>
      </w:r>
    </w:p>
    <w:p w14:paraId="73B1B8D8" w14:textId="77777777" w:rsidR="00C2797B" w:rsidRDefault="00C2797B"/>
    <w:p w14:paraId="040D2BE3" w14:textId="77777777" w:rsidR="00C2797B"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05F5E8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595FC9"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BC5DF6"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D8C32"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82E3C"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0285FE"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DB4514" w14:textId="77777777" w:rsidR="00C2797B" w:rsidRDefault="00000000">
            <w:pPr>
              <w:keepNext/>
              <w:keepLines/>
              <w:spacing w:after="0" w:line="240" w:lineRule="auto"/>
              <w:jc w:val="center"/>
            </w:pPr>
            <w:r>
              <w:rPr>
                <w:b/>
                <w:sz w:val="18"/>
              </w:rPr>
              <w:t>Indeks (%)</w:t>
            </w:r>
          </w:p>
        </w:tc>
      </w:tr>
      <w:tr w:rsidR="00C2797B" w14:paraId="536A36AA" w14:textId="77777777">
        <w:tblPrEx>
          <w:tblCellMar>
            <w:top w:w="0" w:type="dxa"/>
            <w:bottom w:w="0" w:type="dxa"/>
          </w:tblCellMar>
        </w:tblPrEx>
        <w:trPr>
          <w:cantSplit/>
          <w:trHeight w:val="560"/>
        </w:trPr>
        <w:tc>
          <w:tcPr>
            <w:tcW w:w="700" w:type="dxa"/>
            <w:tcMar>
              <w:top w:w="0" w:type="dxa"/>
              <w:bottom w:w="0" w:type="dxa"/>
            </w:tcMar>
            <w:vAlign w:val="center"/>
          </w:tcPr>
          <w:p w14:paraId="45D2631A" w14:textId="77777777" w:rsidR="00C2797B" w:rsidRDefault="00000000">
            <w:pPr>
              <w:keepNext/>
              <w:keepLines/>
              <w:spacing w:after="0" w:line="240" w:lineRule="auto"/>
            </w:pPr>
            <w:r>
              <w:rPr>
                <w:sz w:val="18"/>
              </w:rPr>
              <w:t>5</w:t>
            </w:r>
          </w:p>
        </w:tc>
        <w:tc>
          <w:tcPr>
            <w:tcW w:w="3180" w:type="dxa"/>
            <w:tcMar>
              <w:top w:w="0" w:type="dxa"/>
              <w:bottom w:w="0" w:type="dxa"/>
            </w:tcMar>
            <w:vAlign w:val="center"/>
          </w:tcPr>
          <w:p w14:paraId="3330B623" w14:textId="77777777" w:rsidR="00C2797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EC82073" w14:textId="77777777" w:rsidR="00C2797B" w:rsidRDefault="00000000">
            <w:pPr>
              <w:keepNext/>
              <w:keepLines/>
              <w:spacing w:after="0" w:line="240" w:lineRule="auto"/>
            </w:pPr>
            <w:r>
              <w:rPr>
                <w:sz w:val="18"/>
              </w:rPr>
              <w:t>5</w:t>
            </w:r>
          </w:p>
        </w:tc>
        <w:tc>
          <w:tcPr>
            <w:tcW w:w="1860" w:type="dxa"/>
            <w:tcMar>
              <w:top w:w="0" w:type="dxa"/>
              <w:bottom w:w="0" w:type="dxa"/>
            </w:tcMar>
            <w:vAlign w:val="center"/>
          </w:tcPr>
          <w:p w14:paraId="0E91BD6A" w14:textId="77777777" w:rsidR="00C2797B" w:rsidRDefault="00000000">
            <w:pPr>
              <w:keepNext/>
              <w:keepLines/>
              <w:spacing w:after="0" w:line="240" w:lineRule="auto"/>
              <w:jc w:val="right"/>
            </w:pPr>
            <w:r>
              <w:rPr>
                <w:sz w:val="18"/>
              </w:rPr>
              <w:t>19.677,38</w:t>
            </w:r>
          </w:p>
        </w:tc>
        <w:tc>
          <w:tcPr>
            <w:tcW w:w="1860" w:type="dxa"/>
            <w:tcMar>
              <w:top w:w="0" w:type="dxa"/>
              <w:bottom w:w="0" w:type="dxa"/>
            </w:tcMar>
            <w:vAlign w:val="center"/>
          </w:tcPr>
          <w:p w14:paraId="081C32B3" w14:textId="77777777" w:rsidR="00C2797B" w:rsidRDefault="00000000">
            <w:pPr>
              <w:keepNext/>
              <w:keepLines/>
              <w:spacing w:after="0" w:line="240" w:lineRule="auto"/>
              <w:jc w:val="right"/>
            </w:pPr>
            <w:r>
              <w:rPr>
                <w:sz w:val="18"/>
              </w:rPr>
              <w:t>19.677,38</w:t>
            </w:r>
          </w:p>
        </w:tc>
        <w:tc>
          <w:tcPr>
            <w:tcW w:w="700" w:type="dxa"/>
            <w:tcMar>
              <w:top w:w="0" w:type="dxa"/>
              <w:bottom w:w="0" w:type="dxa"/>
            </w:tcMar>
            <w:vAlign w:val="center"/>
          </w:tcPr>
          <w:p w14:paraId="3CD1B06E" w14:textId="77777777" w:rsidR="00C2797B" w:rsidRDefault="00000000">
            <w:pPr>
              <w:keepNext/>
              <w:keepLines/>
              <w:spacing w:after="0" w:line="240" w:lineRule="auto"/>
              <w:jc w:val="right"/>
            </w:pPr>
            <w:r>
              <w:rPr>
                <w:sz w:val="18"/>
              </w:rPr>
              <w:t>100</w:t>
            </w:r>
          </w:p>
        </w:tc>
      </w:tr>
    </w:tbl>
    <w:p w14:paraId="2CBFF545" w14:textId="77777777" w:rsidR="00C2797B" w:rsidRDefault="00C2797B">
      <w:pPr>
        <w:spacing w:after="0"/>
      </w:pPr>
    </w:p>
    <w:p w14:paraId="5B3125EA" w14:textId="77777777" w:rsidR="00C2797B" w:rsidRDefault="00000000">
      <w:r>
        <w:t>U izvještajnom razdoblju od 1. siječnja do 31. ožujka 2026. godine Općina Fažana je imala realizaciju Izdataka za financijsku imovinu i otplate zajmova (šifre 51+52+53+54+55) šifra 5 u iznosu od 19.677,38 EUR što predstavlja jednaku realizaciju izdataka kao i u 2025. godini u istom izvještajnom razdoblju.</w:t>
      </w:r>
      <w:r>
        <w:br/>
      </w:r>
      <w:r>
        <w:br/>
        <w:t> </w:t>
      </w:r>
    </w:p>
    <w:p w14:paraId="078877A6" w14:textId="77777777" w:rsidR="00C2797B" w:rsidRDefault="00C2797B"/>
    <w:p w14:paraId="1962D587" w14:textId="77777777" w:rsidR="00C2797B"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2797B" w14:paraId="1F8E31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A654AF"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0BCA11"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53B7D4"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C02F0F" w14:textId="77777777" w:rsidR="00C279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DA33C8" w14:textId="77777777" w:rsidR="00C279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0157B3" w14:textId="77777777" w:rsidR="00C2797B" w:rsidRDefault="00000000">
            <w:pPr>
              <w:keepNext/>
              <w:keepLines/>
              <w:spacing w:after="0" w:line="240" w:lineRule="auto"/>
              <w:jc w:val="center"/>
            </w:pPr>
            <w:r>
              <w:rPr>
                <w:b/>
                <w:sz w:val="18"/>
              </w:rPr>
              <w:t>Indeks (%)</w:t>
            </w:r>
          </w:p>
        </w:tc>
      </w:tr>
      <w:tr w:rsidR="00C2797B" w14:paraId="49657DEE" w14:textId="77777777">
        <w:tblPrEx>
          <w:tblCellMar>
            <w:top w:w="0" w:type="dxa"/>
            <w:bottom w:w="0" w:type="dxa"/>
          </w:tblCellMar>
        </w:tblPrEx>
        <w:trPr>
          <w:cantSplit/>
          <w:trHeight w:val="560"/>
        </w:trPr>
        <w:tc>
          <w:tcPr>
            <w:tcW w:w="700" w:type="dxa"/>
            <w:tcMar>
              <w:top w:w="0" w:type="dxa"/>
              <w:bottom w:w="0" w:type="dxa"/>
            </w:tcMar>
            <w:vAlign w:val="center"/>
          </w:tcPr>
          <w:p w14:paraId="2D1DA737" w14:textId="77777777" w:rsidR="00C2797B" w:rsidRDefault="00000000">
            <w:pPr>
              <w:keepNext/>
              <w:keepLines/>
              <w:spacing w:after="0" w:line="240" w:lineRule="auto"/>
            </w:pPr>
            <w:r>
              <w:rPr>
                <w:sz w:val="18"/>
              </w:rPr>
              <w:t>37219</w:t>
            </w:r>
          </w:p>
        </w:tc>
        <w:tc>
          <w:tcPr>
            <w:tcW w:w="3180" w:type="dxa"/>
            <w:tcMar>
              <w:top w:w="0" w:type="dxa"/>
              <w:bottom w:w="0" w:type="dxa"/>
            </w:tcMar>
            <w:vAlign w:val="center"/>
          </w:tcPr>
          <w:p w14:paraId="65A4AE36" w14:textId="77777777" w:rsidR="00C2797B" w:rsidRDefault="00000000">
            <w:pPr>
              <w:keepNext/>
              <w:keepLines/>
              <w:spacing w:after="0" w:line="240" w:lineRule="auto"/>
            </w:pPr>
            <w:r>
              <w:rPr>
                <w:sz w:val="18"/>
              </w:rPr>
              <w:t>Ostale naknade iz proračuna u novcu</w:t>
            </w:r>
          </w:p>
        </w:tc>
        <w:tc>
          <w:tcPr>
            <w:tcW w:w="700" w:type="dxa"/>
            <w:tcMar>
              <w:top w:w="0" w:type="dxa"/>
              <w:bottom w:w="0" w:type="dxa"/>
            </w:tcMar>
            <w:vAlign w:val="center"/>
          </w:tcPr>
          <w:p w14:paraId="79BC4786" w14:textId="77777777" w:rsidR="00C2797B" w:rsidRDefault="00000000">
            <w:pPr>
              <w:keepNext/>
              <w:keepLines/>
              <w:spacing w:after="0" w:line="240" w:lineRule="auto"/>
            </w:pPr>
            <w:r>
              <w:rPr>
                <w:sz w:val="18"/>
              </w:rPr>
              <w:t>37219</w:t>
            </w:r>
          </w:p>
        </w:tc>
        <w:tc>
          <w:tcPr>
            <w:tcW w:w="1860" w:type="dxa"/>
            <w:tcMar>
              <w:top w:w="0" w:type="dxa"/>
              <w:bottom w:w="0" w:type="dxa"/>
            </w:tcMar>
            <w:vAlign w:val="center"/>
          </w:tcPr>
          <w:p w14:paraId="4710CDD3" w14:textId="77777777" w:rsidR="00C2797B" w:rsidRDefault="00000000">
            <w:pPr>
              <w:keepNext/>
              <w:keepLines/>
              <w:spacing w:after="0" w:line="240" w:lineRule="auto"/>
              <w:jc w:val="right"/>
            </w:pPr>
            <w:r>
              <w:rPr>
                <w:sz w:val="18"/>
              </w:rPr>
              <w:t>4.856,48</w:t>
            </w:r>
          </w:p>
        </w:tc>
        <w:tc>
          <w:tcPr>
            <w:tcW w:w="1860" w:type="dxa"/>
            <w:tcMar>
              <w:top w:w="0" w:type="dxa"/>
              <w:bottom w:w="0" w:type="dxa"/>
            </w:tcMar>
            <w:vAlign w:val="center"/>
          </w:tcPr>
          <w:p w14:paraId="6AB4F217" w14:textId="77777777" w:rsidR="00C2797B" w:rsidRDefault="00000000">
            <w:pPr>
              <w:keepNext/>
              <w:keepLines/>
              <w:spacing w:after="0" w:line="240" w:lineRule="auto"/>
              <w:jc w:val="right"/>
            </w:pPr>
            <w:r>
              <w:rPr>
                <w:sz w:val="18"/>
              </w:rPr>
              <w:t>46.450,56</w:t>
            </w:r>
          </w:p>
        </w:tc>
        <w:tc>
          <w:tcPr>
            <w:tcW w:w="700" w:type="dxa"/>
            <w:tcMar>
              <w:top w:w="0" w:type="dxa"/>
              <w:bottom w:w="0" w:type="dxa"/>
            </w:tcMar>
            <w:vAlign w:val="center"/>
          </w:tcPr>
          <w:p w14:paraId="3AB83F69" w14:textId="77777777" w:rsidR="00C2797B" w:rsidRDefault="00000000">
            <w:pPr>
              <w:keepNext/>
              <w:keepLines/>
              <w:spacing w:after="0" w:line="240" w:lineRule="auto"/>
              <w:jc w:val="right"/>
            </w:pPr>
            <w:r>
              <w:rPr>
                <w:sz w:val="18"/>
              </w:rPr>
              <w:t>956,5</w:t>
            </w:r>
          </w:p>
        </w:tc>
      </w:tr>
    </w:tbl>
    <w:p w14:paraId="559CE4AF" w14:textId="77777777" w:rsidR="00C2797B" w:rsidRDefault="00C2797B">
      <w:pPr>
        <w:spacing w:after="0"/>
      </w:pPr>
    </w:p>
    <w:p w14:paraId="7EFDE383" w14:textId="77777777" w:rsidR="00C2797B" w:rsidRDefault="00000000">
      <w:r>
        <w:t xml:space="preserve">Ostale naknade iz proračuna u novcu (šifra 37219) realizirane su u iznosu od 46.450,56 EUR što predstavlja povećanje od 856,55 više u odnosu na prošlu godinu kad su realizirani u iznosu od 4.856,48 EUR. Razlog povećanju su veći broj isplaćenih </w:t>
      </w:r>
      <w:proofErr w:type="spellStart"/>
      <w:r>
        <w:t>uskrsnica</w:t>
      </w:r>
      <w:proofErr w:type="spellEnd"/>
      <w:r>
        <w:t xml:space="preserve"> i ostalih naknada umirovljenicima i socijalno potrebitima u odnosu na prošlu godinu u istom razdoblju.</w:t>
      </w:r>
      <w:r>
        <w:br/>
        <w:t> </w:t>
      </w:r>
    </w:p>
    <w:p w14:paraId="6D0E25E7" w14:textId="77777777" w:rsidR="00C2797B" w:rsidRDefault="00C2797B"/>
    <w:p w14:paraId="52D0FEEF" w14:textId="77777777" w:rsidR="00C2797B" w:rsidRDefault="00000000">
      <w:pPr>
        <w:keepNext/>
        <w:spacing w:line="240" w:lineRule="auto"/>
        <w:jc w:val="center"/>
      </w:pPr>
      <w:r>
        <w:rPr>
          <w:b/>
          <w:sz w:val="28"/>
        </w:rPr>
        <w:t>Izvještaj o obvezama</w:t>
      </w:r>
    </w:p>
    <w:p w14:paraId="36D105F2" w14:textId="77777777" w:rsidR="00C2797B"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2797B" w14:paraId="551BD4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DD6B4"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827D4C"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DB882"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C1C49" w14:textId="77777777" w:rsidR="00C2797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85D3D2" w14:textId="77777777" w:rsidR="00C2797B" w:rsidRDefault="00000000">
            <w:pPr>
              <w:keepNext/>
              <w:keepLines/>
              <w:spacing w:after="0" w:line="240" w:lineRule="auto"/>
              <w:jc w:val="center"/>
            </w:pPr>
            <w:r>
              <w:rPr>
                <w:b/>
                <w:sz w:val="18"/>
              </w:rPr>
              <w:t>Indeks (%)</w:t>
            </w:r>
          </w:p>
        </w:tc>
      </w:tr>
      <w:tr w:rsidR="00C2797B" w14:paraId="2349150E" w14:textId="77777777">
        <w:tblPrEx>
          <w:tblCellMar>
            <w:top w:w="0" w:type="dxa"/>
            <w:bottom w:w="0" w:type="dxa"/>
          </w:tblCellMar>
        </w:tblPrEx>
        <w:trPr>
          <w:cantSplit/>
          <w:trHeight w:val="560"/>
        </w:trPr>
        <w:tc>
          <w:tcPr>
            <w:tcW w:w="700" w:type="dxa"/>
            <w:tcMar>
              <w:top w:w="0" w:type="dxa"/>
              <w:bottom w:w="0" w:type="dxa"/>
            </w:tcMar>
            <w:vAlign w:val="center"/>
          </w:tcPr>
          <w:p w14:paraId="27BC3784" w14:textId="77777777" w:rsidR="00C2797B" w:rsidRDefault="00C2797B">
            <w:pPr>
              <w:keepNext/>
              <w:keepLines/>
              <w:spacing w:after="0" w:line="240" w:lineRule="auto"/>
            </w:pPr>
          </w:p>
        </w:tc>
        <w:tc>
          <w:tcPr>
            <w:tcW w:w="3180" w:type="dxa"/>
            <w:tcMar>
              <w:top w:w="0" w:type="dxa"/>
              <w:bottom w:w="0" w:type="dxa"/>
            </w:tcMar>
            <w:vAlign w:val="center"/>
          </w:tcPr>
          <w:p w14:paraId="7AAA7DEB" w14:textId="77777777" w:rsidR="00C2797B"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9AD9EB2" w14:textId="77777777" w:rsidR="00C2797B" w:rsidRDefault="00000000">
            <w:pPr>
              <w:keepNext/>
              <w:keepLines/>
              <w:spacing w:after="0" w:line="240" w:lineRule="auto"/>
            </w:pPr>
            <w:r>
              <w:rPr>
                <w:sz w:val="18"/>
              </w:rPr>
              <w:t>V007</w:t>
            </w:r>
          </w:p>
        </w:tc>
        <w:tc>
          <w:tcPr>
            <w:tcW w:w="1860" w:type="dxa"/>
            <w:tcMar>
              <w:top w:w="0" w:type="dxa"/>
              <w:bottom w:w="0" w:type="dxa"/>
            </w:tcMar>
            <w:vAlign w:val="center"/>
          </w:tcPr>
          <w:p w14:paraId="14AE1C76" w14:textId="77777777" w:rsidR="00C2797B" w:rsidRDefault="00000000">
            <w:pPr>
              <w:keepNext/>
              <w:keepLines/>
              <w:spacing w:after="0" w:line="240" w:lineRule="auto"/>
              <w:jc w:val="right"/>
            </w:pPr>
            <w:r>
              <w:rPr>
                <w:sz w:val="18"/>
              </w:rPr>
              <w:t>20.700,90</w:t>
            </w:r>
          </w:p>
        </w:tc>
        <w:tc>
          <w:tcPr>
            <w:tcW w:w="700" w:type="dxa"/>
            <w:tcMar>
              <w:top w:w="0" w:type="dxa"/>
              <w:bottom w:w="0" w:type="dxa"/>
            </w:tcMar>
            <w:vAlign w:val="center"/>
          </w:tcPr>
          <w:p w14:paraId="76868FD7" w14:textId="77777777" w:rsidR="00C2797B" w:rsidRDefault="00000000">
            <w:pPr>
              <w:keepNext/>
              <w:keepLines/>
              <w:spacing w:after="0" w:line="240" w:lineRule="auto"/>
              <w:jc w:val="right"/>
            </w:pPr>
            <w:r>
              <w:rPr>
                <w:sz w:val="18"/>
              </w:rPr>
              <w:t>-</w:t>
            </w:r>
          </w:p>
        </w:tc>
      </w:tr>
    </w:tbl>
    <w:p w14:paraId="45B98DEE" w14:textId="77777777" w:rsidR="00C2797B" w:rsidRDefault="00C2797B">
      <w:pPr>
        <w:spacing w:after="0"/>
      </w:pPr>
    </w:p>
    <w:p w14:paraId="7A86C71D" w14:textId="77777777" w:rsidR="00C2797B" w:rsidRDefault="00000000">
      <w:r>
        <w:t>Općina Fažana je na kraju izvještajnog razdoblja imala dospjelih obveza (šifra V007) u iznosu od 20.700,90 EUR.</w:t>
      </w:r>
    </w:p>
    <w:p w14:paraId="1F9193B5" w14:textId="77777777" w:rsidR="00C2797B" w:rsidRDefault="00000000">
      <w:r>
        <w:t>Ukupne obveze Općine Fažana na dan 31. ožujka 2026. godine iznose 1.394.554,09 EUR, od toga dospjelih obveza u iznosu od 20.700,90 EUR, a nedospjelih obveza u iznosu od 1.373.853,19 EUR.</w:t>
      </w:r>
    </w:p>
    <w:p w14:paraId="2EDC3716" w14:textId="77777777" w:rsidR="00C2797B" w:rsidRDefault="00000000">
      <w:r>
        <w:t> </w:t>
      </w:r>
    </w:p>
    <w:p w14:paraId="513A0089" w14:textId="77777777" w:rsidR="00C2797B" w:rsidRDefault="00000000">
      <w:r>
        <w:t>Dospjele obveze (šifra V007) u izvještajnom razdoblju odnose se na slijedeće:</w:t>
      </w:r>
    </w:p>
    <w:p w14:paraId="393374CA" w14:textId="77777777" w:rsidR="00C2797B" w:rsidRDefault="00000000">
      <w:r>
        <w:t>- obveze za rashode poslovanja (D23) u iznosu od 19.221,57 EUR </w:t>
      </w:r>
    </w:p>
    <w:p w14:paraId="06144E3D" w14:textId="77777777" w:rsidR="00C2797B" w:rsidRDefault="00000000">
      <w:r>
        <w:t>- obveze za nabavu nefinancijske imovine (D24) u iznosu od 1.479,33 EUR.</w:t>
      </w:r>
    </w:p>
    <w:p w14:paraId="540A405E" w14:textId="77777777" w:rsidR="00C2797B" w:rsidRDefault="00000000">
      <w:r>
        <w:t> </w:t>
      </w:r>
    </w:p>
    <w:p w14:paraId="2854378F" w14:textId="77777777" w:rsidR="00C2797B" w:rsidRDefault="00000000">
      <w:r>
        <w:t>Obveze za rashode poslovanja (šifra D23) čine obveze za:</w:t>
      </w:r>
    </w:p>
    <w:p w14:paraId="41E42185" w14:textId="77777777" w:rsidR="00C2797B" w:rsidRDefault="00000000">
      <w:r>
        <w:t>- materijalne rashode (D232) u iznosu od 6.550,06 EUR </w:t>
      </w:r>
    </w:p>
    <w:p w14:paraId="67E6CA79" w14:textId="77777777" w:rsidR="00C2797B" w:rsidRDefault="00000000">
      <w:r>
        <w:t>-obveze za dane pomoći u inozemstvo i unutar općeg proračuna (D236) u iznosu od 9.700,00 EUR</w:t>
      </w:r>
    </w:p>
    <w:p w14:paraId="1BF27806" w14:textId="77777777" w:rsidR="00C2797B" w:rsidRDefault="00000000">
      <w:r>
        <w:t>- obveze za naknade građanima i kućanstvima (D237) u iznosu od 2.971,51 EUR.</w:t>
      </w:r>
    </w:p>
    <w:p w14:paraId="3FF33F84" w14:textId="77777777" w:rsidR="00C2797B" w:rsidRDefault="00000000">
      <w:r>
        <w:t> </w:t>
      </w:r>
    </w:p>
    <w:p w14:paraId="71D893C6" w14:textId="77777777" w:rsidR="00C2797B" w:rsidRDefault="00000000">
      <w:r>
        <w:lastRenderedPageBreak/>
        <w:t>Obveze za nabavu nefinancijske imovine (D24) čine obveze za:</w:t>
      </w:r>
    </w:p>
    <w:p w14:paraId="1CAA178E" w14:textId="77777777" w:rsidR="00C2797B" w:rsidRDefault="00000000">
      <w:r>
        <w:t>-za nabavu proizvedene dugotrajne imovine u iznosu od 1.479,33 EUR.</w:t>
      </w:r>
    </w:p>
    <w:p w14:paraId="4456698B" w14:textId="77777777" w:rsidR="00C2797B" w:rsidRDefault="00000000">
      <w:r>
        <w:t> </w:t>
      </w:r>
    </w:p>
    <w:p w14:paraId="421BD3DC" w14:textId="77777777" w:rsidR="00C2797B" w:rsidRDefault="00000000">
      <w:r>
        <w:t>Dospijeća dospjelih obveza D232 po danima : </w:t>
      </w:r>
    </w:p>
    <w:p w14:paraId="409B7B02" w14:textId="77777777" w:rsidR="00C2797B" w:rsidRDefault="00000000">
      <w:r>
        <w:t>a) prekoračenje do 60 dana - obveze iznose 5.123,55 EUR ( račun za komunalne usluge - kasno dobiven i obveze za naknade članovima OV)</w:t>
      </w:r>
    </w:p>
    <w:p w14:paraId="27CADEA2" w14:textId="77777777" w:rsidR="00C2797B" w:rsidRDefault="00000000">
      <w:r>
        <w:t>b) prekoračenje do 360 dana - obveze iznose 1.426,51 EUR (računi za ugostiteljske usluge i osiguranja, koji se osporavaju, obveze nisu usklađene ili su osporavane).</w:t>
      </w:r>
    </w:p>
    <w:p w14:paraId="2CCBBDB3" w14:textId="77777777" w:rsidR="00C2797B" w:rsidRDefault="00000000">
      <w:r>
        <w:t> </w:t>
      </w:r>
    </w:p>
    <w:p w14:paraId="1F39557E" w14:textId="77777777" w:rsidR="00C2797B" w:rsidRDefault="00000000">
      <w:r>
        <w:t>Dospijeća dospjelih obveza D236 po danima:</w:t>
      </w:r>
    </w:p>
    <w:p w14:paraId="759197F7" w14:textId="77777777" w:rsidR="00C2797B" w:rsidRDefault="00000000">
      <w:r>
        <w:t>a)  prekoračenje do 60 dana - obveze iznose 9.700,00 EUR (odnose se na pomoći koje se isplaćuju Javno vatrogasnoj postrojbi Pula - kasno dostavljen zahtjev za isplatu za 02/2026.)</w:t>
      </w:r>
    </w:p>
    <w:p w14:paraId="6D7FCCB9" w14:textId="77777777" w:rsidR="00C2797B" w:rsidRDefault="00000000">
      <w:r>
        <w:t> </w:t>
      </w:r>
    </w:p>
    <w:p w14:paraId="5ADDC7EC" w14:textId="77777777" w:rsidR="00C2797B" w:rsidRDefault="00000000">
      <w:r>
        <w:t>Dospijeća dospjelih obveza D237 po danima:</w:t>
      </w:r>
    </w:p>
    <w:p w14:paraId="094B862C" w14:textId="77777777" w:rsidR="00C2797B" w:rsidRDefault="00000000">
      <w:r>
        <w:t>a) prekoračenje do 60 dana - obveze iznose 2.971,51 EUR (odnose se na račune za javni prijevoz (sa zakašnjenjem ispostavljene) i usluge pripreme toplih obroka - kompenzacija u tijeku).</w:t>
      </w:r>
    </w:p>
    <w:p w14:paraId="31670CDE" w14:textId="77777777" w:rsidR="00C2797B" w:rsidRDefault="00000000">
      <w:r>
        <w:t> </w:t>
      </w:r>
    </w:p>
    <w:p w14:paraId="5965740B" w14:textId="77777777" w:rsidR="00C2797B" w:rsidRDefault="00000000">
      <w:r>
        <w:t>Obveze za nabavu nefinancijske imovine (D24) u iznosu od 1.479,33 EUR čine obveze za :</w:t>
      </w:r>
    </w:p>
    <w:p w14:paraId="2421AA35" w14:textId="77777777" w:rsidR="00C2797B" w:rsidRDefault="00000000">
      <w:r>
        <w:t>-   nabavu proizvedene dugotrajne imovine (242).</w:t>
      </w:r>
    </w:p>
    <w:p w14:paraId="3A8B6F6C" w14:textId="77777777" w:rsidR="00C2797B" w:rsidRDefault="00000000">
      <w:r>
        <w:t>Dospijeća dospjelih obveza D24 po danima :</w:t>
      </w:r>
    </w:p>
    <w:p w14:paraId="123E569B" w14:textId="77777777" w:rsidR="00C2797B" w:rsidRDefault="00000000">
      <w:r>
        <w:t xml:space="preserve">a) prekoračenje do 360 dana – obveze u iznosu od 1.479,33 EUR (račun tvrtke Vodovod Pula i CAR DEC 2025 </w:t>
      </w:r>
      <w:proofErr w:type="spellStart"/>
      <w:r>
        <w:t>j.do.o</w:t>
      </w:r>
      <w:proofErr w:type="spellEnd"/>
      <w:r>
        <w:t>. - neusklađenost stanja, usklađivanje u tijeku).</w:t>
      </w:r>
    </w:p>
    <w:p w14:paraId="7C8D4003" w14:textId="77777777" w:rsidR="00C2797B" w:rsidRDefault="00000000">
      <w:r>
        <w:t> </w:t>
      </w:r>
    </w:p>
    <w:p w14:paraId="51DDACC6" w14:textId="77777777" w:rsidR="00C2797B" w:rsidRDefault="00000000">
      <w:r>
        <w:t> </w:t>
      </w:r>
    </w:p>
    <w:p w14:paraId="403A012B" w14:textId="77777777" w:rsidR="00C2797B" w:rsidRDefault="00C2797B"/>
    <w:p w14:paraId="0C4BB547" w14:textId="77777777" w:rsidR="00C2797B"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2797B" w14:paraId="0A8720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76126C" w14:textId="77777777" w:rsidR="00C279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ADAAD2" w14:textId="77777777" w:rsidR="00C279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F4894" w14:textId="77777777" w:rsidR="00C279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02D35" w14:textId="77777777" w:rsidR="00C2797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1A3231F" w14:textId="77777777" w:rsidR="00C2797B" w:rsidRDefault="00000000">
            <w:pPr>
              <w:keepNext/>
              <w:keepLines/>
              <w:spacing w:after="0" w:line="240" w:lineRule="auto"/>
              <w:jc w:val="center"/>
            </w:pPr>
            <w:r>
              <w:rPr>
                <w:b/>
                <w:sz w:val="18"/>
              </w:rPr>
              <w:t>Indeks (%)</w:t>
            </w:r>
          </w:p>
        </w:tc>
      </w:tr>
      <w:tr w:rsidR="00C2797B" w14:paraId="0BF61395" w14:textId="77777777">
        <w:tblPrEx>
          <w:tblCellMar>
            <w:top w:w="0" w:type="dxa"/>
            <w:bottom w:w="0" w:type="dxa"/>
          </w:tblCellMar>
        </w:tblPrEx>
        <w:trPr>
          <w:cantSplit/>
          <w:trHeight w:val="560"/>
        </w:trPr>
        <w:tc>
          <w:tcPr>
            <w:tcW w:w="700" w:type="dxa"/>
            <w:tcMar>
              <w:top w:w="0" w:type="dxa"/>
              <w:bottom w:w="0" w:type="dxa"/>
            </w:tcMar>
            <w:vAlign w:val="center"/>
          </w:tcPr>
          <w:p w14:paraId="7CE63B23" w14:textId="77777777" w:rsidR="00C2797B" w:rsidRDefault="00C2797B">
            <w:pPr>
              <w:keepNext/>
              <w:keepLines/>
              <w:spacing w:after="0" w:line="240" w:lineRule="auto"/>
            </w:pPr>
          </w:p>
        </w:tc>
        <w:tc>
          <w:tcPr>
            <w:tcW w:w="3180" w:type="dxa"/>
            <w:tcMar>
              <w:top w:w="0" w:type="dxa"/>
              <w:bottom w:w="0" w:type="dxa"/>
            </w:tcMar>
            <w:vAlign w:val="center"/>
          </w:tcPr>
          <w:p w14:paraId="27779D6F" w14:textId="77777777" w:rsidR="00C2797B"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2DF7E92" w14:textId="77777777" w:rsidR="00C2797B" w:rsidRDefault="00000000">
            <w:pPr>
              <w:keepNext/>
              <w:keepLines/>
              <w:spacing w:after="0" w:line="240" w:lineRule="auto"/>
            </w:pPr>
            <w:r>
              <w:rPr>
                <w:sz w:val="18"/>
              </w:rPr>
              <w:t>V009</w:t>
            </w:r>
          </w:p>
        </w:tc>
        <w:tc>
          <w:tcPr>
            <w:tcW w:w="1860" w:type="dxa"/>
            <w:tcMar>
              <w:top w:w="0" w:type="dxa"/>
              <w:bottom w:w="0" w:type="dxa"/>
            </w:tcMar>
            <w:vAlign w:val="center"/>
          </w:tcPr>
          <w:p w14:paraId="4307794F" w14:textId="77777777" w:rsidR="00C2797B" w:rsidRDefault="00000000">
            <w:pPr>
              <w:keepNext/>
              <w:keepLines/>
              <w:spacing w:after="0" w:line="240" w:lineRule="auto"/>
              <w:jc w:val="right"/>
            </w:pPr>
            <w:r>
              <w:rPr>
                <w:sz w:val="18"/>
              </w:rPr>
              <w:t>1.373.853,19</w:t>
            </w:r>
          </w:p>
        </w:tc>
        <w:tc>
          <w:tcPr>
            <w:tcW w:w="700" w:type="dxa"/>
            <w:tcMar>
              <w:top w:w="0" w:type="dxa"/>
              <w:bottom w:w="0" w:type="dxa"/>
            </w:tcMar>
            <w:vAlign w:val="center"/>
          </w:tcPr>
          <w:p w14:paraId="10C5B67A" w14:textId="77777777" w:rsidR="00C2797B" w:rsidRDefault="00000000">
            <w:pPr>
              <w:keepNext/>
              <w:keepLines/>
              <w:spacing w:after="0" w:line="240" w:lineRule="auto"/>
              <w:jc w:val="right"/>
            </w:pPr>
            <w:r>
              <w:rPr>
                <w:sz w:val="18"/>
              </w:rPr>
              <w:t>-</w:t>
            </w:r>
          </w:p>
        </w:tc>
      </w:tr>
    </w:tbl>
    <w:p w14:paraId="7A59E383" w14:textId="77777777" w:rsidR="00C2797B" w:rsidRDefault="00C2797B">
      <w:pPr>
        <w:spacing w:after="0"/>
      </w:pPr>
    </w:p>
    <w:p w14:paraId="657A151E" w14:textId="77777777" w:rsidR="00C2797B" w:rsidRDefault="00000000">
      <w:r>
        <w:lastRenderedPageBreak/>
        <w:t>Stanje nedospjelih obveza na kraju izvještajnog razdoblja (šifre V010 + ND23 + ND24 + 'ND dio 25,26' + ND27)  šifra V009 ukupno iznose 1.373.853,19 EUR.</w:t>
      </w:r>
    </w:p>
    <w:p w14:paraId="17891BE8" w14:textId="77777777" w:rsidR="00C2797B" w:rsidRDefault="00000000">
      <w:r>
        <w:t>Stanje nedospjelih obveza (šifra V009) odnose se na slijedeće obveze:</w:t>
      </w:r>
    </w:p>
    <w:p w14:paraId="02005E5D" w14:textId="77777777" w:rsidR="00C2797B" w:rsidRDefault="00000000">
      <w:r>
        <w:t> - međusobne obveze subjekata općeg proračuna (V010) u iznosu od 4.219,88 EUR (obveze prema Istarskoj županiji za produženi boravak)</w:t>
      </w:r>
    </w:p>
    <w:p w14:paraId="6330C969" w14:textId="77777777" w:rsidR="00C2797B" w:rsidRDefault="00000000">
      <w:r>
        <w:t>- nedospjele obveze za rashode poslovanja (ND23) u iznosu od 210.082,33 EUR (odnose se na obveze prema zaposlenima za plaće, obveze prema domaćim dobavljačima za razne materijalne rashode za potrebe redovnog poslovanja, od uredskog materijala, komunalnih usluga, informatičkih usluga, obveze za pomoći prema JVP, socijalne pomoći  i drugo).</w:t>
      </w:r>
    </w:p>
    <w:p w14:paraId="61ABA0C1" w14:textId="77777777" w:rsidR="00C2797B" w:rsidRDefault="00000000">
      <w:r>
        <w:t>- nedospjele obveze za nabavu nefinancijske imovine (ND24) u iznosu od 17.677,09 EUR ( za račune HEMI za nabavu uredskog namještaja i izradu projektne dokumentacije za vodovodnu mrežu - Burić)</w:t>
      </w:r>
    </w:p>
    <w:p w14:paraId="1042F444" w14:textId="77777777" w:rsidR="00C2797B" w:rsidRDefault="00000000">
      <w:r>
        <w:t>- nedospjele obveze za financijsku imovinu (ND dio 25,26) u iznosu od 1.034.305,07 EUR ( za obveze po osnovi dugoročnih kredita od Zagrebačke banke i Istarske kreditne banke Umag d.d.)</w:t>
      </w:r>
    </w:p>
    <w:p w14:paraId="73A19A9C" w14:textId="77777777" w:rsidR="00C2797B" w:rsidRDefault="00000000">
      <w:r>
        <w:t>-nedospjele obveze za naplaćene tuđe prihode (ND27) u iznosu od 107.568,82 EUR ( odnose se na prihode od proračunskog korisnika DV SUNCE i Hrvatskih voda).</w:t>
      </w:r>
    </w:p>
    <w:p w14:paraId="19B53E92" w14:textId="77777777" w:rsidR="00C2797B" w:rsidRDefault="00C2797B"/>
    <w:sectPr w:rsidR="00C27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2F72"/>
    <w:multiLevelType w:val="hybridMultilevel"/>
    <w:tmpl w:val="EE98BAE6"/>
    <w:name w:val="disc"/>
    <w:lvl w:ilvl="0" w:tplc="8460C65E">
      <w:start w:val="1"/>
      <w:numFmt w:val="bullet"/>
      <w:lvlText w:val="•"/>
      <w:lvlJc w:val="left"/>
      <w:pPr>
        <w:ind w:left="720" w:hanging="360"/>
      </w:pPr>
    </w:lvl>
    <w:lvl w:ilvl="1" w:tplc="979CA978">
      <w:start w:val="1"/>
      <w:numFmt w:val="bullet"/>
      <w:lvlText w:val="•"/>
      <w:lvlJc w:val="left"/>
      <w:pPr>
        <w:ind w:left="1440" w:hanging="360"/>
      </w:pPr>
    </w:lvl>
    <w:lvl w:ilvl="2" w:tplc="F3F8F55C">
      <w:start w:val="1"/>
      <w:numFmt w:val="bullet"/>
      <w:lvlText w:val="•"/>
      <w:lvlJc w:val="left"/>
      <w:pPr>
        <w:ind w:left="2160" w:hanging="360"/>
      </w:pPr>
    </w:lvl>
    <w:lvl w:ilvl="3" w:tplc="6F7A3D7E">
      <w:start w:val="1"/>
      <w:numFmt w:val="bullet"/>
      <w:lvlText w:val="•"/>
      <w:lvlJc w:val="left"/>
      <w:pPr>
        <w:ind w:left="2880" w:hanging="360"/>
      </w:pPr>
    </w:lvl>
    <w:lvl w:ilvl="4" w:tplc="6EA2DD9A">
      <w:start w:val="1"/>
      <w:numFmt w:val="bullet"/>
      <w:lvlText w:val="•"/>
      <w:lvlJc w:val="left"/>
      <w:pPr>
        <w:ind w:left="3600" w:hanging="360"/>
      </w:pPr>
    </w:lvl>
    <w:lvl w:ilvl="5" w:tplc="EDE28DA8">
      <w:start w:val="1"/>
      <w:numFmt w:val="bullet"/>
      <w:lvlText w:val="•"/>
      <w:lvlJc w:val="left"/>
      <w:pPr>
        <w:ind w:left="4320" w:hanging="360"/>
      </w:pPr>
    </w:lvl>
    <w:lvl w:ilvl="6" w:tplc="F5EC0476">
      <w:start w:val="1"/>
      <w:numFmt w:val="bullet"/>
      <w:lvlText w:val="•"/>
      <w:lvlJc w:val="left"/>
      <w:pPr>
        <w:ind w:left="5040" w:hanging="360"/>
      </w:pPr>
    </w:lvl>
    <w:lvl w:ilvl="7" w:tplc="918C4CC8">
      <w:start w:val="1"/>
      <w:numFmt w:val="bullet"/>
      <w:lvlText w:val="•"/>
      <w:lvlJc w:val="left"/>
      <w:pPr>
        <w:ind w:left="5760" w:hanging="360"/>
      </w:pPr>
    </w:lvl>
    <w:lvl w:ilvl="8" w:tplc="EE2EF390">
      <w:start w:val="1"/>
      <w:numFmt w:val="bullet"/>
      <w:lvlText w:val="•"/>
      <w:lvlJc w:val="left"/>
      <w:pPr>
        <w:ind w:left="6480" w:hanging="360"/>
      </w:pPr>
    </w:lvl>
  </w:abstractNum>
  <w:num w:numId="1" w16cid:durableId="7403247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7B"/>
    <w:rsid w:val="00445AC8"/>
    <w:rsid w:val="009E1671"/>
    <w:rsid w:val="00C279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1A93"/>
  <w15:docId w15:val="{E322E636-B364-4890-BD43-F9D1A4B8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2780</Words>
  <Characters>15848</Characters>
  <Application>Microsoft Office Word</Application>
  <DocSecurity>0</DocSecurity>
  <Lines>132</Lines>
  <Paragraphs>37</Paragraphs>
  <ScaleCrop>false</ScaleCrop>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Anjoš</dc:creator>
  <cp:lastModifiedBy>Admin Fažana</cp:lastModifiedBy>
  <cp:revision>2</cp:revision>
  <dcterms:created xsi:type="dcterms:W3CDTF">2026-04-16T13:02:00Z</dcterms:created>
  <dcterms:modified xsi:type="dcterms:W3CDTF">2026-04-16T13:02:00Z</dcterms:modified>
</cp:coreProperties>
</file>