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B6728" w14:paraId="4714B08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7FB490A" w14:textId="77777777" w:rsidR="00AB6728" w:rsidRDefault="00000000" w:rsidP="00071F6E">
            <w:pPr>
              <w:spacing w:after="0" w:line="240" w:lineRule="auto"/>
              <w:jc w:val="both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E2E08CE" w14:textId="77777777" w:rsidR="00AB6728" w:rsidRDefault="00000000">
            <w:pPr>
              <w:spacing w:after="0" w:line="240" w:lineRule="auto"/>
            </w:pPr>
            <w:r>
              <w:t>36209</w:t>
            </w:r>
          </w:p>
        </w:tc>
      </w:tr>
      <w:tr w:rsidR="00AB6728" w14:paraId="0B2B5C0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C6432C" w14:textId="77777777" w:rsidR="00AB672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40BFE65" w14:textId="77777777" w:rsidR="00AB6728" w:rsidRDefault="00000000">
            <w:pPr>
              <w:spacing w:after="0" w:line="240" w:lineRule="auto"/>
            </w:pPr>
            <w:r>
              <w:t>OPĆINA FAŽANA</w:t>
            </w:r>
          </w:p>
        </w:tc>
      </w:tr>
      <w:tr w:rsidR="00AB6728" w14:paraId="5FB8B71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75812F" w14:textId="77777777" w:rsidR="00AB672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BE9B45A" w14:textId="77777777" w:rsidR="00AB6728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4C54B164" w14:textId="77777777" w:rsidR="00AB6728" w:rsidRDefault="00000000">
      <w:r>
        <w:br/>
      </w:r>
    </w:p>
    <w:p w14:paraId="68262078" w14:textId="77777777" w:rsidR="00AB672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9B87EF4" w14:textId="77777777" w:rsidR="00AB672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5EB0492" w14:textId="77777777" w:rsidR="00AB6728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41B3C24" w14:textId="77777777" w:rsidR="00AB6728" w:rsidRDefault="00AB6728"/>
    <w:p w14:paraId="13DF0886" w14:textId="77777777" w:rsidR="00AB672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E56AF2E" w14:textId="77777777" w:rsidR="00AB672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B6728" w14:paraId="1C0373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B61E3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703C8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8B99E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5B174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55474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5D184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728" w14:paraId="389155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6625D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862F4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8E3F6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E2C7B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7.323.180,29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D5BE6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8.275.208,00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B7201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  <w:tr w:rsidR="00AB6728" w14:paraId="211B8E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C017B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F1A53A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C57DF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3C986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5.255.277,68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6E669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5.965.188,71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1FD9F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  <w:tr w:rsidR="00AB6728" w14:paraId="729021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411B7" w14:textId="77777777" w:rsidR="00AB6728" w:rsidRDefault="00AB67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867B5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F5681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68533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2.067.902,61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0FCEC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2.310.019,29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3CC43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111,7</w:t>
            </w:r>
          </w:p>
        </w:tc>
      </w:tr>
      <w:tr w:rsidR="00AB6728" w14:paraId="25162F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19D9C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183D11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B9563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EB322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AF3B9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1.340.807,29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4C7EA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AB6728" w14:paraId="6A8CCA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282C1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FF0CC4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98F32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762C2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2.674.499,78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46E0B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3.962.981,20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E4CFF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148,2</w:t>
            </w:r>
          </w:p>
        </w:tc>
      </w:tr>
      <w:tr w:rsidR="00AB6728" w14:paraId="40D981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0A17D" w14:textId="77777777" w:rsidR="00AB6728" w:rsidRDefault="00AB67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4FFA46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11C4E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7C41C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2.670.761,88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B560A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2.622.173,91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09ED0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98,2</w:t>
            </w:r>
          </w:p>
        </w:tc>
      </w:tr>
      <w:tr w:rsidR="00AB6728" w14:paraId="451AC6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B5929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786CD6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419CC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E6899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F85FB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522.930,92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3C434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B6728" w14:paraId="1394D8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BEF2A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52D961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A1DC6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53656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119.831,09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228F4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78.709,52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9FCD3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65,7</w:t>
            </w:r>
          </w:p>
        </w:tc>
      </w:tr>
      <w:tr w:rsidR="00AB6728" w14:paraId="419DCB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2D35C" w14:textId="77777777" w:rsidR="00AB6728" w:rsidRDefault="00AB67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B34BFC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6DB0A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DD5F6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63B92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444.221,40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83DF6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B6728" w14:paraId="4AEC31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1461A" w14:textId="77777777" w:rsidR="00AB6728" w:rsidRDefault="00AB67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0B353B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5CD7C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A8D89A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A5B84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132.066,78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5D369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23D349E" w14:textId="77777777" w:rsidR="00AB6728" w:rsidRDefault="00AB6728">
      <w:pPr>
        <w:spacing w:after="0"/>
      </w:pPr>
    </w:p>
    <w:p w14:paraId="61186F22" w14:textId="77777777" w:rsidR="00AB6728" w:rsidRDefault="00000000">
      <w:pPr>
        <w:jc w:val="both"/>
      </w:pPr>
      <w:r>
        <w:t>Sukladno odredbama članka 14. do članka 18. Pravilnika o financijskom izvještavanju u proračunskom računovodstvu („Narodne novine“ broj 37/2022) sastavljaju se Bilješke uz financijske izvještaje kao objašnjenje i dopuna podataka za određene stavke iz izvještaja, i to kako slijedi:</w:t>
      </w:r>
    </w:p>
    <w:p w14:paraId="016C4E1C" w14:textId="77777777" w:rsidR="00AB6728" w:rsidRDefault="00000000">
      <w:pPr>
        <w:jc w:val="both"/>
      </w:pPr>
      <w:r>
        <w:t xml:space="preserve">Konsolidaciju financijskih izvješća Proračuna Općine Fažana-Fasana za 2025. godinu izvršili smo na način da smo financijska izvješća za Općinu Fažana-Fasana za 2025. godinu (razina </w:t>
      </w:r>
      <w:r>
        <w:lastRenderedPageBreak/>
        <w:t xml:space="preserve">22) uvećali za realizaciju njezinog proračunskog korisnika Dječji vrtić Sunce, </w:t>
      </w:r>
      <w:proofErr w:type="spellStart"/>
      <w:r>
        <w:t>Oib</w:t>
      </w:r>
      <w:proofErr w:type="spellEnd"/>
      <w:r>
        <w:t xml:space="preserve">: 58630420981, </w:t>
      </w:r>
      <w:proofErr w:type="spellStart"/>
      <w:r>
        <w:t>Puljska</w:t>
      </w:r>
      <w:proofErr w:type="spellEnd"/>
      <w:r>
        <w:t xml:space="preserve"> 3, Fažana (razina 21).</w:t>
      </w:r>
    </w:p>
    <w:p w14:paraId="32FD4B15" w14:textId="77777777" w:rsidR="00AB6728" w:rsidRDefault="00000000">
      <w:pPr>
        <w:jc w:val="both"/>
      </w:pPr>
      <w:r>
        <w:t xml:space="preserve">U postupku konsolidacije izvršili smo eliminaciju </w:t>
      </w:r>
      <w:proofErr w:type="spellStart"/>
      <w:r>
        <w:t>unutargrupnih</w:t>
      </w:r>
      <w:proofErr w:type="spellEnd"/>
      <w:r>
        <w:t xml:space="preserve"> transakcija ( prihoda- skupine računskog plana 67 i rashoda - podskupine 367), u iznosu od 734.746,38 EUR, na način da smo kod proračunskog korisnika izvršili eliminaciju prihoda koji su realizirani iz Proračuna Općine Fažana-Fasana, a u financijskom izvješću Općine Fažana-Fasana eliminaciju rashoda (367) koji su utrošeni za redovnu djelatnost Dječjeg vrtića Sunce, te iste rashode iskazani po stvarnim vrstama rashoda.</w:t>
      </w:r>
    </w:p>
    <w:p w14:paraId="3A364656" w14:textId="77777777" w:rsidR="00AB6728" w:rsidRDefault="00000000">
      <w:pPr>
        <w:jc w:val="both"/>
      </w:pPr>
      <w:r>
        <w:t xml:space="preserve">Općina Fažana-Fasana je u 2025. godini  ostvarila ukupne prihode u iznosu od 8.181.423,72 EUR i ukupne rashode u iznosu od 5.889.795,06 EUR što je rezultiralo sa viškom prihoda poslovanja u iznosu od 2.291.628,66 EUR. Zatim, ostvareno je prihoda od nefinancijske imovine u iznosu od 1.340.807,29 EUR i izdataka u iznosu od 3.955.125,70 EUR, što dovodi do manjka prihoda od nefinancijske imovine u iznosu od 2.614.318,41 EUR. Dok primici od </w:t>
      </w:r>
      <w:proofErr w:type="spellStart"/>
      <w:r>
        <w:t>finan</w:t>
      </w:r>
      <w:proofErr w:type="spellEnd"/>
      <w:r>
        <w:t>. imovine i zaduživanja ostvareni su u iznosu od 522.930,92 EUR, a izdaci za financijsku imovinu iznose 78.709,52 EUR, što rezultira viškom primitaka od financijske imovine i zaduživanja u iznosu od 444.221,40 EUR. Financijski rezultat razdoblja odnosno 2025. godine je višak prihoda u ukupnom iznosu od 121.531,65 EUR.</w:t>
      </w:r>
    </w:p>
    <w:p w14:paraId="4F353130" w14:textId="77777777" w:rsidR="00AB6728" w:rsidRDefault="00000000">
      <w:pPr>
        <w:jc w:val="both"/>
      </w:pPr>
      <w:r>
        <w:t>Nakon knjiženja Odluke o raspodjeli rezultata za 2024. godinu gdje preneseni višak iz prethodne godine iznosi 3.429.474,80 EUR i nakon provedene obvezne korekcije rezultata,  ostvaren je višak za prijenos u slijedeće razdoblje u iznosu od 3.546.541,79 EUR.</w:t>
      </w:r>
    </w:p>
    <w:p w14:paraId="46ACDBCC" w14:textId="77777777" w:rsidR="00AB6728" w:rsidRDefault="00000000">
      <w:pPr>
        <w:jc w:val="both"/>
      </w:pPr>
      <w:r>
        <w:t>U financijskom izvješću Općine Fažana-Fasana razine 22 uključeni su prihodi i primici te rashodi i izdaci proračunskih korisnika, a to su Vijeće srpske nacionalne manjine, Vijeće talijanske nacionalne manjine i Vijeće bošnjačke nacionalne manjine. U proračunu Općine Fažana-Fasana planirano je za troškove nacionalnih manjina ukupan iznos od 25.500,00 EUR, a realizirano u iznosu od 22.508,73 EUR.</w:t>
      </w:r>
    </w:p>
    <w:p w14:paraId="70790762" w14:textId="1453B49F" w:rsidR="00AB6728" w:rsidRDefault="00000000">
      <w:pPr>
        <w:jc w:val="both"/>
      </w:pPr>
      <w:r>
        <w:t>Vijeće srpske nacionalne manjine realizirao je svoje troškove u iznosu od 10.439,80 EUR koji se odnose na troškove službenog putovanja (1.999,90 EUR), uredskog materijala (500,00 EUR), usluge promidžbe i informiranja (1.000,00 EUR), te na ostale nespomenute rashode poslovanja (6.947,90 EUR). Ujedno</w:t>
      </w:r>
      <w:r w:rsidR="00071F6E">
        <w:t xml:space="preserve"> </w:t>
      </w:r>
      <w:r>
        <w:t>Vijeće srpske nacionalne manjine primilo je donaciju u iznosu od 1.500,00 EUR od Turističke zajednice Općine Fažana za pokriće svojih materijalnih rashoda.</w:t>
      </w:r>
    </w:p>
    <w:p w14:paraId="6E1D387B" w14:textId="4DC1A5FA" w:rsidR="00AB6728" w:rsidRDefault="00000000">
      <w:pPr>
        <w:jc w:val="both"/>
      </w:pPr>
      <w:r>
        <w:t>Vijeće talijanske nacionalne manjine utrošilo je planirana sredstva (9.000,00 EUR) u ukupnom iznosu od 7.969,93 EUR i to na slijedeće troškove: zakupninu (2.460,00 EUR), intelektualne i osobne usluge (4.170,93 EUR), ureds</w:t>
      </w:r>
      <w:r w:rsidR="00071F6E">
        <w:t>k</w:t>
      </w:r>
      <w:r>
        <w:t>i materijal (600,00 EUR) te na reprezentaciju (739,00 EUR).  </w:t>
      </w:r>
      <w:r>
        <w:br/>
        <w:t>Vijeće bošnjačke manjine realiziralo je svoje troškove u ukupnom iznosu od 4.099,00 EUR, od planiranih i osiguranih 6.000,00 EUR. Sredstva su utrošena na ostale nespomenute rashode poslovanja u iznosu od 3.000,00 EUR i nabavu informatičke opreme.</w:t>
      </w:r>
      <w:r>
        <w:br/>
        <w:t> </w:t>
      </w:r>
    </w:p>
    <w:p w14:paraId="720CA684" w14:textId="77777777" w:rsidR="00AB6728" w:rsidRDefault="00000000">
      <w:pPr>
        <w:jc w:val="both"/>
      </w:pPr>
      <w:r>
        <w:lastRenderedPageBreak/>
        <w:t>U Proračunu Općine Fažana-Fasana za proračunskog korisnika Dječji vrtić Sunce planirano je  1.017.500,00 EUR, a realizirano je u iznosu od 817.995,53 EUR i to za financiranje rashoda za zaposlene djelatnike (plaće, naknade, dolazak na posao i s posla) i dio za materijalne rashode i ostali materijalne rashode, dok su dio materijalnih i financijskih rashoda za redovnu djelatnost financirani iz vlastitih izvora i to u iznosu 65.229,81 EUR. Dodatni programi za rad s predškolskom djecom (djecom nacionalnih manjina, darovitom djecom, predškolskom djecom i djecom sa poteškoćama u razvoju) financiran je iz sredstava Državnog proračuna i za isti je utrošeno iznos od 8.976,65 EUR. Sredstvima iz fiskalne održivosti financirani su i rashodi za stručno usavršavanje zaposlenika, intelektualne i osobne usluge, nabava uredske opreme i namještaja, te nabava uređaja i opreme ostale namjene u ukupnom iznosu od 22.346,48 EUR.</w:t>
      </w:r>
    </w:p>
    <w:p w14:paraId="6A5CFC14" w14:textId="6A44E431" w:rsidR="00AB6728" w:rsidRDefault="00000000">
      <w:pPr>
        <w:jc w:val="both"/>
      </w:pPr>
      <w:r>
        <w:t>Dječji vrtić Sunce je u 2025. godini ostvario ukupne prihode u iznosu od 828.530,66 EUR (od toga 93.784,28 EUR vlastitih i od pomoći), dok ukupni rashodi iznose 810.140,03 EUR, što je rezultiralo viškom prihoda poslovanja u tom razdoblju u iznosu od 18.390,63 EUR, te rashode za nabavu nefinancijske imovine u iznosu od 7.855,50 EUR što je rezultiralo manjkom prihoda od nefinancijske imovine u iznosu od 7.855,50  EUR.</w:t>
      </w:r>
    </w:p>
    <w:p w14:paraId="0C3F7B49" w14:textId="77777777" w:rsidR="00AB6728" w:rsidRDefault="00000000">
      <w:pPr>
        <w:jc w:val="both"/>
      </w:pPr>
      <w:r>
        <w:t>Dječji vrtić Sunce ima preneseni višak prihoda iz prethodne godine u iznosu od 2.960,47 EUR, te zajedno sa ostvarenim viškom prihoda tekućeg razdoblja od 10.535,13 EUR, ukupno prenosi u slijedeće razdoblje višak prihoda u iznosu od 13.495,60 EUR.</w:t>
      </w:r>
    </w:p>
    <w:p w14:paraId="7A696832" w14:textId="77777777" w:rsidR="00AB6728" w:rsidRDefault="00000000">
      <w:pPr>
        <w:jc w:val="both"/>
      </w:pPr>
      <w:r>
        <w:t>Na kraju poslovne/proračunske 2025. godine ostvaren je konsolidirani financijski rezultat viška prihoda u iznosu od 132.066,78 EUR, koji je proizašao iz viška prihoda poslovanja u iznosu od 2.310.019,29 EUR, manjka prihoda od nefinancijske imovine u iznosu od 2.622.173,91 EUR i viška od financijske imovine i zaduživanja u iznosu od 444.221,40 EUR.</w:t>
      </w:r>
    </w:p>
    <w:p w14:paraId="38CF4DB6" w14:textId="77777777" w:rsidR="00AB6728" w:rsidRDefault="00000000">
      <w:pPr>
        <w:jc w:val="both"/>
      </w:pPr>
      <w:r>
        <w:t> </w:t>
      </w:r>
    </w:p>
    <w:p w14:paraId="03E5093A" w14:textId="77777777" w:rsidR="00AB6728" w:rsidRDefault="00000000">
      <w:r>
        <w:br/>
      </w:r>
    </w:p>
    <w:p w14:paraId="049F9BD7" w14:textId="77777777" w:rsidR="00AB672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A2A2932" w14:textId="77777777" w:rsidR="00AB672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B6728" w14:paraId="176B3B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B55CE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79661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0D935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9BB84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B9B23" w14:textId="77777777" w:rsidR="00AB672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728" w14:paraId="75A4EA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9302D" w14:textId="77777777" w:rsidR="00AB6728" w:rsidRDefault="00AB67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9E38C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B4A5A" w14:textId="77777777" w:rsidR="00AB672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02607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78.652,65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FB162" w14:textId="77777777" w:rsidR="00AB672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C2FC31" w14:textId="77777777" w:rsidR="00AB6728" w:rsidRDefault="00AB6728">
      <w:pPr>
        <w:spacing w:after="0"/>
      </w:pPr>
    </w:p>
    <w:p w14:paraId="1D51C97B" w14:textId="6FF320FC" w:rsidR="00AB6728" w:rsidRDefault="00000000" w:rsidP="00071F6E">
      <w:pPr>
        <w:jc w:val="both"/>
      </w:pPr>
      <w:r>
        <w:t>Stanje dospjelih ko</w:t>
      </w:r>
      <w:r w:rsidR="00071F6E">
        <w:t>n</w:t>
      </w:r>
      <w:r>
        <w:t>solidiranih obveza na kraju izvještajnog razdoblja za 2025. godinu (šifre V008+D23+D24 + 'D dio 25,26' + D27) V007 iznose 78.652,65 EUR.</w:t>
      </w:r>
    </w:p>
    <w:p w14:paraId="65AB39D1" w14:textId="77777777" w:rsidR="00AB6728" w:rsidRDefault="00000000" w:rsidP="00071F6E">
      <w:pPr>
        <w:jc w:val="both"/>
      </w:pPr>
      <w:r>
        <w:t>Ukupne dospjele obveze odnose se samo na dospjele obveze Općine Fažana, dok njezin proračunski korisnik Dječjeg vrtića Sunce Fažana nije imao dospjelih obveza na kraju izvještajnog razdoblja za 2025. godinu.</w:t>
      </w:r>
    </w:p>
    <w:p w14:paraId="74D5E15D" w14:textId="77777777" w:rsidR="00AB6728" w:rsidRDefault="00000000" w:rsidP="00071F6E">
      <w:pPr>
        <w:jc w:val="both"/>
      </w:pPr>
      <w:r>
        <w:t>Dospjele obveze (šifra V007) u izvještajnom razdoblju odnose se na slijedeće:</w:t>
      </w:r>
    </w:p>
    <w:p w14:paraId="4C338FD7" w14:textId="77777777" w:rsidR="00AB6728" w:rsidRDefault="00000000">
      <w:r>
        <w:lastRenderedPageBreak/>
        <w:t>- obveze za rashode poslovanja (D23) u iznosu od 18.929,15 EUR </w:t>
      </w:r>
    </w:p>
    <w:p w14:paraId="71220A09" w14:textId="77777777" w:rsidR="00AB6728" w:rsidRDefault="00000000">
      <w:r>
        <w:t>- obveze za nabavu nefinancijske imovine (D24) u iznosu od 59.723,50 EUR.</w:t>
      </w:r>
    </w:p>
    <w:p w14:paraId="41E800CB" w14:textId="77777777" w:rsidR="00AB6728" w:rsidRDefault="00000000">
      <w:r>
        <w:t> </w:t>
      </w:r>
    </w:p>
    <w:p w14:paraId="7C733998" w14:textId="77777777" w:rsidR="00AB6728" w:rsidRDefault="00000000">
      <w:r>
        <w:t>Obveze za rashode poslovanja (šifra D23) čine obveze za:</w:t>
      </w:r>
    </w:p>
    <w:p w14:paraId="6B7571DB" w14:textId="77777777" w:rsidR="00AB6728" w:rsidRDefault="00000000">
      <w:r>
        <w:t>- materijalne rashode (D232) u iznosu od 12.788,14 EUR i</w:t>
      </w:r>
    </w:p>
    <w:p w14:paraId="139DBF4B" w14:textId="77777777" w:rsidR="00AB6728" w:rsidRDefault="00000000">
      <w:r>
        <w:t>- obveze za naknade građanima i kućanstvima (D237) u iznosu od 6.141,01 EUR.</w:t>
      </w:r>
    </w:p>
    <w:p w14:paraId="25C066E8" w14:textId="77777777" w:rsidR="00AB6728" w:rsidRDefault="00000000">
      <w:r>
        <w:t>Obveze za nabavu nefinancijske imovine (D24) čine obveze za:</w:t>
      </w:r>
    </w:p>
    <w:p w14:paraId="613890C5" w14:textId="77777777" w:rsidR="00AB6728" w:rsidRDefault="00000000">
      <w:r>
        <w:t>-za nabavu proizvedene dugotrajne imovine u iznosu od 59.723,50 EUR.</w:t>
      </w:r>
    </w:p>
    <w:p w14:paraId="5216C223" w14:textId="77777777" w:rsidR="00AB6728" w:rsidRDefault="00000000">
      <w:r>
        <w:t> </w:t>
      </w:r>
    </w:p>
    <w:p w14:paraId="4E229A1F" w14:textId="77777777" w:rsidR="00AB6728" w:rsidRDefault="00000000">
      <w:r>
        <w:t>Dospijeća dospjelih obveza D232 po danima : </w:t>
      </w:r>
    </w:p>
    <w:p w14:paraId="207F7633" w14:textId="77777777" w:rsidR="00AB6728" w:rsidRDefault="00000000">
      <w:r>
        <w:t>a)  prekoračenje do 60 dana - obveze iznose 10.874,77 EUR (računi za ugostiteljske usluge, usluge stručnog nadzora, struja, projektantske usluge)</w:t>
      </w:r>
    </w:p>
    <w:p w14:paraId="54E63B52" w14:textId="77777777" w:rsidR="00AB6728" w:rsidRDefault="00000000">
      <w:r>
        <w:t>b)  prekoračenje do 180 dana - obveze iznose 154,00 EUR (račun za uslugu pripreme toplih obroka - kompenzacija u tijeku)</w:t>
      </w:r>
    </w:p>
    <w:p w14:paraId="1F7EACDB" w14:textId="77777777" w:rsidR="00AB6728" w:rsidRDefault="00000000">
      <w:r>
        <w:t>c)  prekoračenje preko 360 dana - obveze iznose 1.759,37 EUR (računi za strujni priključak i stručnog nadzora, obveze nisu usklađene ili su osporavane).</w:t>
      </w:r>
    </w:p>
    <w:p w14:paraId="59BA0EE5" w14:textId="77777777" w:rsidR="00AB6728" w:rsidRDefault="00000000">
      <w:r>
        <w:t> </w:t>
      </w:r>
    </w:p>
    <w:p w14:paraId="51DA5004" w14:textId="77777777" w:rsidR="00AB6728" w:rsidRDefault="00000000">
      <w:r>
        <w:t>Dospijeća dospjelih obveza D237 po danima:</w:t>
      </w:r>
    </w:p>
    <w:p w14:paraId="3F3C87B7" w14:textId="77777777" w:rsidR="00AB6728" w:rsidRDefault="00000000">
      <w:r>
        <w:t>a) prekoračenje do 60 dana - obveze iznose 5.121,00 EUR (odnose se na račune za javni prijevoz (sa zakašnjenjem ispostavljene) i usluge pripreme toplih obroka - kompenzacija u tijeku).</w:t>
      </w:r>
    </w:p>
    <w:p w14:paraId="102F3E4A" w14:textId="77777777" w:rsidR="00AB6728" w:rsidRDefault="00000000">
      <w:r>
        <w:t>b) prekoračenje do 180 dana - obveze iznose 1.020,01 EUR (odnose se na račun za uslugu pripreme toplih obroka - kompenzacija u tijeku).</w:t>
      </w:r>
    </w:p>
    <w:p w14:paraId="7F75694E" w14:textId="77777777" w:rsidR="00AB6728" w:rsidRDefault="00000000">
      <w:r>
        <w:t> </w:t>
      </w:r>
    </w:p>
    <w:p w14:paraId="5655E007" w14:textId="77777777" w:rsidR="00AB6728" w:rsidRDefault="00000000">
      <w:r>
        <w:t>Obveze za nabavu nefinancijske imovine (D24) u iznosu od 59.723,50 EUR čine obveze za :</w:t>
      </w:r>
    </w:p>
    <w:p w14:paraId="37804EC6" w14:textId="77777777" w:rsidR="00AB6728" w:rsidRDefault="00000000">
      <w:r>
        <w:t>-   nabavu proizvedene dugotrajne imovine (242).</w:t>
      </w:r>
    </w:p>
    <w:p w14:paraId="505AE0CA" w14:textId="77777777" w:rsidR="00AB6728" w:rsidRDefault="00000000">
      <w:r>
        <w:t>Dospijeća dospjelih obveza D24 po danima :</w:t>
      </w:r>
    </w:p>
    <w:p w14:paraId="496E7D93" w14:textId="77777777" w:rsidR="00AB6728" w:rsidRDefault="00000000">
      <w:r>
        <w:t>a)    prekoračenje do 60 dana – obveze iznose od 14.200,00 EUR ( računi za usluge stručnog nadzora na izgradnji Doma za mlade i račun za uslugu izrade GSSS za novo groblje );</w:t>
      </w:r>
    </w:p>
    <w:p w14:paraId="2ED4423A" w14:textId="77777777" w:rsidR="00AB6728" w:rsidRDefault="00000000">
      <w:r>
        <w:t>b) prekoračenje do 180 dana – obveze u iznosu od 8.975,97 EUR (račun za obradu predmeta k.č.776/4 k.o. Fažana, račun za stručni nadzor za tematski park maslinika i račun za izrada dokumentacije za 1. fazu prometnice kč.br. 219/132 i dr.);</w:t>
      </w:r>
    </w:p>
    <w:p w14:paraId="1FFD6C09" w14:textId="77777777" w:rsidR="00AB6728" w:rsidRDefault="00000000">
      <w:r>
        <w:lastRenderedPageBreak/>
        <w:t xml:space="preserve">c) prekoračenje do 360 dana – obveze u iznosu od 36.547,53 EUR (račun tvrtke Burić d.o.o., Info network j.d.o.o., </w:t>
      </w:r>
      <w:proofErr w:type="spellStart"/>
      <w:r>
        <w:t>Progressum</w:t>
      </w:r>
      <w:proofErr w:type="spellEnd"/>
      <w:r>
        <w:t xml:space="preserve"> </w:t>
      </w:r>
      <w:proofErr w:type="spellStart"/>
      <w:r>
        <w:t>constructum</w:t>
      </w:r>
      <w:proofErr w:type="spellEnd"/>
      <w:r>
        <w:t>, Novi urbanizam d.o.o. - navedene obveze su zbog neusklađenosti stanja ili neprihvaćanja dostavljenih računa (utvrđivanje stvarne obveze u tijeku i kompenzacije).</w:t>
      </w:r>
    </w:p>
    <w:p w14:paraId="58265B40" w14:textId="77777777" w:rsidR="00AB6728" w:rsidRDefault="00000000">
      <w:r>
        <w:t>Navedene dospjele obveze se usklađuju ili osporavaju zbog manjka u odrađenim uslugama, te većina je u tijeku s kompenzacijama.</w:t>
      </w:r>
    </w:p>
    <w:p w14:paraId="3709D8D5" w14:textId="77777777" w:rsidR="00AB672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0FD0416B" w14:textId="77777777" w:rsidR="00AB6728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436A57C6" w14:textId="77777777" w:rsidR="00AB6728" w:rsidRDefault="00000000">
      <w:pPr>
        <w:jc w:val="both"/>
      </w:pPr>
      <w:r>
        <w:t xml:space="preserve">U postupku konsolidacije izvršili smo eliminaciju </w:t>
      </w:r>
      <w:proofErr w:type="spellStart"/>
      <w:r>
        <w:t>unutargrupnih</w:t>
      </w:r>
      <w:proofErr w:type="spellEnd"/>
      <w:r>
        <w:t xml:space="preserve"> transakcija ( prihoda- skupine računskog plana 67 i rashoda - podskupine 367), u iznosu od 734.746,38 EUR, na način da smo kod proračunskog korisnika izvršili eliminaciju prihoda koji su realizirani iz Proračuna Općine Fažana-Fasana, a u financijskom izvješću Općine Fažana-Fasana eliminaciju rashoda (367) koji su utrošeni za redovnu djelatnost Dječjeg vrtića Sunce, te iste rashode iskazani po stvarnim vrstama rashoda.</w:t>
      </w:r>
    </w:p>
    <w:p w14:paraId="22EBB90D" w14:textId="77777777" w:rsidR="00AB6728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4826EE15" w14:textId="77777777" w:rsidR="00AB6728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B6728" w14:paraId="66A233A4" w14:textId="77777777">
        <w:trPr>
          <w:trHeight w:val="547"/>
        </w:trPr>
        <w:tc>
          <w:tcPr>
            <w:tcW w:w="1246" w:type="pct"/>
            <w:vAlign w:val="center"/>
          </w:tcPr>
          <w:p w14:paraId="1888649D" w14:textId="77777777" w:rsidR="00AB6728" w:rsidRDefault="00000000">
            <w:r>
              <w:rPr>
                <w:b/>
              </w:rPr>
              <w:t>KONTO</w:t>
            </w:r>
          </w:p>
        </w:tc>
        <w:tc>
          <w:tcPr>
            <w:tcW w:w="1246" w:type="pct"/>
            <w:vAlign w:val="center"/>
          </w:tcPr>
          <w:p w14:paraId="43888B5D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OPĆINA FAŽANA</w:t>
            </w:r>
          </w:p>
        </w:tc>
        <w:tc>
          <w:tcPr>
            <w:tcW w:w="1246" w:type="pct"/>
            <w:vAlign w:val="center"/>
          </w:tcPr>
          <w:p w14:paraId="68574EB1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DJEČJI VRTIĆ SUNCE</w:t>
            </w:r>
          </w:p>
        </w:tc>
        <w:tc>
          <w:tcPr>
            <w:tcW w:w="1246" w:type="pct"/>
            <w:vAlign w:val="center"/>
          </w:tcPr>
          <w:p w14:paraId="7872C951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KONSOLIDIRANI PODACI EUR</w:t>
            </w:r>
          </w:p>
        </w:tc>
      </w:tr>
      <w:tr w:rsidR="00AB6728" w14:paraId="7246BBD2" w14:textId="77777777">
        <w:trPr>
          <w:trHeight w:val="547"/>
        </w:trPr>
        <w:tc>
          <w:tcPr>
            <w:tcW w:w="1246" w:type="pct"/>
            <w:vAlign w:val="center"/>
          </w:tcPr>
          <w:p w14:paraId="77A4074C" w14:textId="77777777" w:rsidR="00AB6728" w:rsidRDefault="00000000">
            <w:r>
              <w:rPr>
                <w:b/>
              </w:rPr>
              <w:t>6</w:t>
            </w:r>
          </w:p>
        </w:tc>
        <w:tc>
          <w:tcPr>
            <w:tcW w:w="1246" w:type="pct"/>
            <w:vAlign w:val="center"/>
          </w:tcPr>
          <w:p w14:paraId="6AB8DDF3" w14:textId="77777777" w:rsidR="00AB6728" w:rsidRDefault="00000000">
            <w:pPr>
              <w:keepNext/>
              <w:jc w:val="center"/>
            </w:pPr>
            <w:r>
              <w:t>8.181.423,72</w:t>
            </w:r>
          </w:p>
        </w:tc>
        <w:tc>
          <w:tcPr>
            <w:tcW w:w="1246" w:type="pct"/>
            <w:vAlign w:val="center"/>
          </w:tcPr>
          <w:p w14:paraId="5127B07B" w14:textId="77777777" w:rsidR="00AB6728" w:rsidRDefault="00000000">
            <w:pPr>
              <w:keepNext/>
              <w:jc w:val="center"/>
            </w:pPr>
            <w:r>
              <w:t>93.784,28</w:t>
            </w:r>
          </w:p>
        </w:tc>
        <w:tc>
          <w:tcPr>
            <w:tcW w:w="1246" w:type="pct"/>
            <w:vAlign w:val="center"/>
          </w:tcPr>
          <w:p w14:paraId="7AAA4C86" w14:textId="77777777" w:rsidR="00AB6728" w:rsidRDefault="00000000">
            <w:pPr>
              <w:keepNext/>
              <w:jc w:val="center"/>
            </w:pPr>
            <w:r>
              <w:t>8.275.208,00</w:t>
            </w:r>
          </w:p>
        </w:tc>
      </w:tr>
      <w:tr w:rsidR="00AB6728" w14:paraId="028EFE39" w14:textId="77777777">
        <w:trPr>
          <w:trHeight w:val="547"/>
        </w:trPr>
        <w:tc>
          <w:tcPr>
            <w:tcW w:w="1246" w:type="pct"/>
            <w:vAlign w:val="center"/>
          </w:tcPr>
          <w:p w14:paraId="1EA04CF8" w14:textId="77777777" w:rsidR="00AB6728" w:rsidRDefault="00000000">
            <w:r>
              <w:rPr>
                <w:b/>
              </w:rPr>
              <w:t>7</w:t>
            </w:r>
          </w:p>
        </w:tc>
        <w:tc>
          <w:tcPr>
            <w:tcW w:w="1246" w:type="pct"/>
            <w:vAlign w:val="center"/>
          </w:tcPr>
          <w:p w14:paraId="06B58C4E" w14:textId="77777777" w:rsidR="00AB6728" w:rsidRDefault="00000000">
            <w:pPr>
              <w:keepNext/>
              <w:jc w:val="center"/>
            </w:pPr>
            <w:r>
              <w:t>1.340.807,29</w:t>
            </w:r>
          </w:p>
        </w:tc>
        <w:tc>
          <w:tcPr>
            <w:tcW w:w="1246" w:type="pct"/>
            <w:vAlign w:val="center"/>
          </w:tcPr>
          <w:p w14:paraId="7DD44760" w14:textId="77777777" w:rsidR="00AB6728" w:rsidRDefault="00000000">
            <w:pPr>
              <w:keepNext/>
              <w:jc w:val="center"/>
            </w:pPr>
            <w:r>
              <w:t>0,00</w:t>
            </w:r>
          </w:p>
        </w:tc>
        <w:tc>
          <w:tcPr>
            <w:tcW w:w="1246" w:type="pct"/>
            <w:vAlign w:val="center"/>
          </w:tcPr>
          <w:p w14:paraId="53C3332C" w14:textId="77777777" w:rsidR="00AB6728" w:rsidRDefault="00000000">
            <w:pPr>
              <w:keepNext/>
              <w:jc w:val="center"/>
            </w:pPr>
            <w:r>
              <w:t>1.340.807,29</w:t>
            </w:r>
          </w:p>
        </w:tc>
      </w:tr>
      <w:tr w:rsidR="00AB6728" w14:paraId="08111232" w14:textId="77777777">
        <w:trPr>
          <w:trHeight w:val="547"/>
        </w:trPr>
        <w:tc>
          <w:tcPr>
            <w:tcW w:w="1246" w:type="pct"/>
            <w:vAlign w:val="center"/>
          </w:tcPr>
          <w:p w14:paraId="42BB7F03" w14:textId="77777777" w:rsidR="00AB6728" w:rsidRDefault="00000000">
            <w:r>
              <w:rPr>
                <w:b/>
              </w:rPr>
              <w:t>8</w:t>
            </w:r>
          </w:p>
        </w:tc>
        <w:tc>
          <w:tcPr>
            <w:tcW w:w="1246" w:type="pct"/>
            <w:vAlign w:val="center"/>
          </w:tcPr>
          <w:p w14:paraId="2E0479AC" w14:textId="77777777" w:rsidR="00AB6728" w:rsidRDefault="00000000">
            <w:pPr>
              <w:keepNext/>
              <w:jc w:val="center"/>
            </w:pPr>
            <w:r>
              <w:t>522.930,92</w:t>
            </w:r>
          </w:p>
        </w:tc>
        <w:tc>
          <w:tcPr>
            <w:tcW w:w="1246" w:type="pct"/>
            <w:vAlign w:val="center"/>
          </w:tcPr>
          <w:p w14:paraId="7CBC9552" w14:textId="77777777" w:rsidR="00AB6728" w:rsidRDefault="00000000">
            <w:pPr>
              <w:keepNext/>
              <w:jc w:val="center"/>
            </w:pPr>
            <w:r>
              <w:t>0,00</w:t>
            </w:r>
          </w:p>
        </w:tc>
        <w:tc>
          <w:tcPr>
            <w:tcW w:w="1246" w:type="pct"/>
            <w:vAlign w:val="center"/>
          </w:tcPr>
          <w:p w14:paraId="69B962D2" w14:textId="77777777" w:rsidR="00AB6728" w:rsidRDefault="00000000">
            <w:pPr>
              <w:keepNext/>
              <w:jc w:val="center"/>
            </w:pPr>
            <w:r>
              <w:t>522.930,92</w:t>
            </w:r>
          </w:p>
        </w:tc>
      </w:tr>
      <w:tr w:rsidR="00AB6728" w14:paraId="4CC9901A" w14:textId="77777777">
        <w:trPr>
          <w:trHeight w:val="547"/>
        </w:trPr>
        <w:tc>
          <w:tcPr>
            <w:tcW w:w="1246" w:type="pct"/>
            <w:vAlign w:val="center"/>
          </w:tcPr>
          <w:p w14:paraId="11F3BDF7" w14:textId="77777777" w:rsidR="00AB6728" w:rsidRDefault="00000000">
            <w:r>
              <w:rPr>
                <w:b/>
              </w:rPr>
              <w:t>UKUPNO U EUR - X678</w:t>
            </w:r>
          </w:p>
        </w:tc>
        <w:tc>
          <w:tcPr>
            <w:tcW w:w="1246" w:type="pct"/>
            <w:vAlign w:val="center"/>
          </w:tcPr>
          <w:p w14:paraId="4ECB703E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 10.045.162,00</w:t>
            </w:r>
          </w:p>
        </w:tc>
        <w:tc>
          <w:tcPr>
            <w:tcW w:w="1246" w:type="pct"/>
            <w:vAlign w:val="center"/>
          </w:tcPr>
          <w:p w14:paraId="6D9DC73F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93.784,28</w:t>
            </w:r>
          </w:p>
        </w:tc>
        <w:tc>
          <w:tcPr>
            <w:tcW w:w="1246" w:type="pct"/>
            <w:vAlign w:val="center"/>
          </w:tcPr>
          <w:p w14:paraId="58F1BC16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10.138.946,21</w:t>
            </w:r>
          </w:p>
        </w:tc>
      </w:tr>
      <w:tr w:rsidR="00AB6728" w14:paraId="06E3A32A" w14:textId="77777777">
        <w:trPr>
          <w:trHeight w:val="547"/>
        </w:trPr>
        <w:tc>
          <w:tcPr>
            <w:tcW w:w="1246" w:type="pct"/>
            <w:vAlign w:val="center"/>
          </w:tcPr>
          <w:p w14:paraId="6BAA15CD" w14:textId="77777777" w:rsidR="00AB6728" w:rsidRDefault="00000000">
            <w:r>
              <w:rPr>
                <w:b/>
              </w:rPr>
              <w:t>3</w:t>
            </w:r>
          </w:p>
        </w:tc>
        <w:tc>
          <w:tcPr>
            <w:tcW w:w="1246" w:type="pct"/>
            <w:vAlign w:val="center"/>
          </w:tcPr>
          <w:p w14:paraId="771349F0" w14:textId="77777777" w:rsidR="00AB6728" w:rsidRDefault="00000000">
            <w:pPr>
              <w:keepNext/>
              <w:jc w:val="center"/>
            </w:pPr>
            <w:r>
              <w:t>5.155.048,68</w:t>
            </w:r>
          </w:p>
        </w:tc>
        <w:tc>
          <w:tcPr>
            <w:tcW w:w="1246" w:type="pct"/>
            <w:vAlign w:val="center"/>
          </w:tcPr>
          <w:p w14:paraId="3A086EC1" w14:textId="77777777" w:rsidR="00AB6728" w:rsidRDefault="00000000">
            <w:pPr>
              <w:keepNext/>
              <w:jc w:val="center"/>
            </w:pPr>
            <w:r>
              <w:t>810.140,03</w:t>
            </w:r>
          </w:p>
        </w:tc>
        <w:tc>
          <w:tcPr>
            <w:tcW w:w="1246" w:type="pct"/>
            <w:vAlign w:val="center"/>
          </w:tcPr>
          <w:p w14:paraId="708DB19C" w14:textId="77777777" w:rsidR="00AB6728" w:rsidRDefault="00000000">
            <w:pPr>
              <w:keepNext/>
              <w:jc w:val="center"/>
            </w:pPr>
            <w:r>
              <w:t>5.965.188,71</w:t>
            </w:r>
          </w:p>
        </w:tc>
      </w:tr>
      <w:tr w:rsidR="00AB6728" w14:paraId="0EF50DC3" w14:textId="77777777">
        <w:trPr>
          <w:trHeight w:val="547"/>
        </w:trPr>
        <w:tc>
          <w:tcPr>
            <w:tcW w:w="1246" w:type="pct"/>
            <w:vAlign w:val="center"/>
          </w:tcPr>
          <w:p w14:paraId="65F72E8A" w14:textId="77777777" w:rsidR="00AB6728" w:rsidRDefault="00000000">
            <w:r>
              <w:rPr>
                <w:b/>
              </w:rPr>
              <w:t>4</w:t>
            </w:r>
          </w:p>
        </w:tc>
        <w:tc>
          <w:tcPr>
            <w:tcW w:w="1246" w:type="pct"/>
            <w:vAlign w:val="center"/>
          </w:tcPr>
          <w:p w14:paraId="56C14B62" w14:textId="77777777" w:rsidR="00AB6728" w:rsidRDefault="00000000">
            <w:pPr>
              <w:keepNext/>
              <w:jc w:val="center"/>
            </w:pPr>
            <w:r>
              <w:t>3.955.125,7</w:t>
            </w:r>
          </w:p>
        </w:tc>
        <w:tc>
          <w:tcPr>
            <w:tcW w:w="1246" w:type="pct"/>
            <w:vAlign w:val="center"/>
          </w:tcPr>
          <w:p w14:paraId="5075D3FB" w14:textId="77777777" w:rsidR="00AB6728" w:rsidRDefault="00000000">
            <w:pPr>
              <w:keepNext/>
              <w:jc w:val="center"/>
            </w:pPr>
            <w:r>
              <w:t>7.855,5</w:t>
            </w:r>
          </w:p>
        </w:tc>
        <w:tc>
          <w:tcPr>
            <w:tcW w:w="1246" w:type="pct"/>
            <w:vAlign w:val="center"/>
          </w:tcPr>
          <w:p w14:paraId="535214CE" w14:textId="77777777" w:rsidR="00AB6728" w:rsidRDefault="00000000">
            <w:pPr>
              <w:keepNext/>
              <w:jc w:val="center"/>
            </w:pPr>
            <w:r>
              <w:t>3.962.981,20</w:t>
            </w:r>
          </w:p>
        </w:tc>
      </w:tr>
      <w:tr w:rsidR="00AB6728" w14:paraId="456283D5" w14:textId="77777777">
        <w:trPr>
          <w:trHeight w:val="547"/>
        </w:trPr>
        <w:tc>
          <w:tcPr>
            <w:tcW w:w="1246" w:type="pct"/>
            <w:vAlign w:val="center"/>
          </w:tcPr>
          <w:p w14:paraId="6A1DAD08" w14:textId="77777777" w:rsidR="00AB6728" w:rsidRDefault="00000000">
            <w:r>
              <w:rPr>
                <w:b/>
              </w:rPr>
              <w:t>5</w:t>
            </w:r>
          </w:p>
        </w:tc>
        <w:tc>
          <w:tcPr>
            <w:tcW w:w="1246" w:type="pct"/>
            <w:vAlign w:val="center"/>
          </w:tcPr>
          <w:p w14:paraId="0F83F8C8" w14:textId="77777777" w:rsidR="00AB6728" w:rsidRDefault="00000000">
            <w:pPr>
              <w:keepNext/>
              <w:jc w:val="center"/>
            </w:pPr>
            <w:r>
              <w:t>78.709,52</w:t>
            </w:r>
          </w:p>
        </w:tc>
        <w:tc>
          <w:tcPr>
            <w:tcW w:w="1246" w:type="pct"/>
            <w:vAlign w:val="center"/>
          </w:tcPr>
          <w:p w14:paraId="54EBC135" w14:textId="77777777" w:rsidR="00AB6728" w:rsidRDefault="00000000">
            <w:pPr>
              <w:keepNext/>
              <w:jc w:val="center"/>
            </w:pPr>
            <w:r>
              <w:t>0,00</w:t>
            </w:r>
          </w:p>
        </w:tc>
        <w:tc>
          <w:tcPr>
            <w:tcW w:w="1246" w:type="pct"/>
            <w:vAlign w:val="center"/>
          </w:tcPr>
          <w:p w14:paraId="73600310" w14:textId="77777777" w:rsidR="00AB6728" w:rsidRDefault="00000000">
            <w:pPr>
              <w:keepNext/>
              <w:jc w:val="center"/>
            </w:pPr>
            <w:r>
              <w:t>78.709,52</w:t>
            </w:r>
          </w:p>
        </w:tc>
      </w:tr>
      <w:tr w:rsidR="00AB6728" w14:paraId="1038ECB7" w14:textId="77777777">
        <w:trPr>
          <w:trHeight w:val="547"/>
        </w:trPr>
        <w:tc>
          <w:tcPr>
            <w:tcW w:w="1246" w:type="pct"/>
            <w:vAlign w:val="center"/>
          </w:tcPr>
          <w:p w14:paraId="6F686881" w14:textId="77777777" w:rsidR="00AB6728" w:rsidRDefault="00000000">
            <w:r>
              <w:rPr>
                <w:b/>
              </w:rPr>
              <w:t>UKUPNO U EUR - Y345</w:t>
            </w:r>
          </w:p>
        </w:tc>
        <w:tc>
          <w:tcPr>
            <w:tcW w:w="1246" w:type="pct"/>
            <w:vAlign w:val="center"/>
          </w:tcPr>
          <w:p w14:paraId="137E0CCF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9.188.883,90</w:t>
            </w:r>
          </w:p>
        </w:tc>
        <w:tc>
          <w:tcPr>
            <w:tcW w:w="1246" w:type="pct"/>
            <w:vAlign w:val="center"/>
          </w:tcPr>
          <w:p w14:paraId="65BE230F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817.995,53</w:t>
            </w:r>
          </w:p>
        </w:tc>
        <w:tc>
          <w:tcPr>
            <w:tcW w:w="1246" w:type="pct"/>
            <w:vAlign w:val="center"/>
          </w:tcPr>
          <w:p w14:paraId="4A53E9B0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10.006.879,43</w:t>
            </w:r>
          </w:p>
        </w:tc>
      </w:tr>
      <w:tr w:rsidR="00AB6728" w14:paraId="20715DE0" w14:textId="77777777">
        <w:trPr>
          <w:trHeight w:val="547"/>
        </w:trPr>
        <w:tc>
          <w:tcPr>
            <w:tcW w:w="1246" w:type="pct"/>
            <w:vAlign w:val="center"/>
          </w:tcPr>
          <w:p w14:paraId="72DDF1E8" w14:textId="77777777" w:rsidR="00AB6728" w:rsidRDefault="00000000">
            <w:r>
              <w:rPr>
                <w:b/>
              </w:rPr>
              <w:t>VIŠAK PRIHODA - X005</w:t>
            </w:r>
          </w:p>
        </w:tc>
        <w:tc>
          <w:tcPr>
            <w:tcW w:w="1246" w:type="pct"/>
            <w:vAlign w:val="center"/>
          </w:tcPr>
          <w:p w14:paraId="479651C8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121.531,65</w:t>
            </w:r>
          </w:p>
        </w:tc>
        <w:tc>
          <w:tcPr>
            <w:tcW w:w="1246" w:type="pct"/>
            <w:vAlign w:val="center"/>
          </w:tcPr>
          <w:p w14:paraId="6CCC5346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10.535,13</w:t>
            </w:r>
          </w:p>
        </w:tc>
        <w:tc>
          <w:tcPr>
            <w:tcW w:w="1246" w:type="pct"/>
            <w:vAlign w:val="center"/>
          </w:tcPr>
          <w:p w14:paraId="75A39AAA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132.066,78</w:t>
            </w:r>
          </w:p>
        </w:tc>
      </w:tr>
      <w:tr w:rsidR="00AB6728" w14:paraId="646144B4" w14:textId="77777777">
        <w:trPr>
          <w:trHeight w:val="547"/>
        </w:trPr>
        <w:tc>
          <w:tcPr>
            <w:tcW w:w="1246" w:type="pct"/>
            <w:vAlign w:val="center"/>
          </w:tcPr>
          <w:p w14:paraId="382B266E" w14:textId="77777777" w:rsidR="00AB6728" w:rsidRDefault="00000000">
            <w:r>
              <w:rPr>
                <w:b/>
              </w:rPr>
              <w:t>Višak/manjak prihoda preneseni </w:t>
            </w:r>
          </w:p>
        </w:tc>
        <w:tc>
          <w:tcPr>
            <w:tcW w:w="1246" w:type="pct"/>
            <w:vAlign w:val="center"/>
          </w:tcPr>
          <w:p w14:paraId="6A6E0B72" w14:textId="77777777" w:rsidR="00AB6728" w:rsidRDefault="00000000">
            <w:pPr>
              <w:keepNext/>
              <w:jc w:val="center"/>
            </w:pPr>
            <w:r>
              <w:t>3.425.010,14</w:t>
            </w:r>
          </w:p>
        </w:tc>
        <w:tc>
          <w:tcPr>
            <w:tcW w:w="1246" w:type="pct"/>
            <w:vAlign w:val="center"/>
          </w:tcPr>
          <w:p w14:paraId="1ABA0B2E" w14:textId="77777777" w:rsidR="00AB6728" w:rsidRDefault="00000000">
            <w:pPr>
              <w:keepNext/>
              <w:jc w:val="center"/>
            </w:pPr>
            <w:r>
              <w:t>2.960,47</w:t>
            </w:r>
          </w:p>
        </w:tc>
        <w:tc>
          <w:tcPr>
            <w:tcW w:w="1246" w:type="pct"/>
            <w:vAlign w:val="center"/>
          </w:tcPr>
          <w:p w14:paraId="6E4B935D" w14:textId="77777777" w:rsidR="00AB6728" w:rsidRDefault="00000000">
            <w:pPr>
              <w:keepNext/>
              <w:jc w:val="center"/>
            </w:pPr>
            <w:r>
              <w:t>3.427.970,61</w:t>
            </w:r>
          </w:p>
        </w:tc>
      </w:tr>
      <w:tr w:rsidR="00AB6728" w14:paraId="2CECD3B9" w14:textId="77777777">
        <w:tc>
          <w:tcPr>
            <w:tcW w:w="1246" w:type="pct"/>
            <w:vAlign w:val="center"/>
          </w:tcPr>
          <w:p w14:paraId="02959937" w14:textId="77777777" w:rsidR="00AB6728" w:rsidRDefault="00000000">
            <w:r>
              <w:rPr>
                <w:b/>
              </w:rPr>
              <w:t>Višak prihoda raspoloživi u sljedećem razdoblju </w:t>
            </w:r>
          </w:p>
        </w:tc>
        <w:tc>
          <w:tcPr>
            <w:tcW w:w="1246" w:type="pct"/>
            <w:vAlign w:val="center"/>
          </w:tcPr>
          <w:p w14:paraId="40239511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3.546.541,79</w:t>
            </w:r>
          </w:p>
        </w:tc>
        <w:tc>
          <w:tcPr>
            <w:tcW w:w="1246" w:type="pct"/>
            <w:vAlign w:val="center"/>
          </w:tcPr>
          <w:p w14:paraId="301A8EF6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13.495,6</w:t>
            </w:r>
          </w:p>
        </w:tc>
        <w:tc>
          <w:tcPr>
            <w:tcW w:w="1246" w:type="pct"/>
            <w:vAlign w:val="center"/>
          </w:tcPr>
          <w:p w14:paraId="05EB3F6C" w14:textId="77777777" w:rsidR="00AB6728" w:rsidRDefault="00000000">
            <w:pPr>
              <w:keepNext/>
              <w:jc w:val="center"/>
            </w:pPr>
            <w:r>
              <w:rPr>
                <w:b/>
              </w:rPr>
              <w:t>3.560.037,39</w:t>
            </w:r>
          </w:p>
        </w:tc>
      </w:tr>
    </w:tbl>
    <w:p w14:paraId="07EC8054" w14:textId="5D45670B" w:rsidR="00AB6728" w:rsidRDefault="00000000" w:rsidP="00071F6E">
      <w:pPr>
        <w:jc w:val="center"/>
      </w:pPr>
      <w:r>
        <w:t> </w:t>
      </w:r>
    </w:p>
    <w:sectPr w:rsidR="00AB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28"/>
    <w:rsid w:val="00071F6E"/>
    <w:rsid w:val="00137D08"/>
    <w:rsid w:val="007B1240"/>
    <w:rsid w:val="00A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93E8"/>
  <w15:docId w15:val="{8801E969-D23C-4BA3-A046-228209FB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Anjoš</dc:creator>
  <cp:lastModifiedBy>Admin Fažana</cp:lastModifiedBy>
  <cp:revision>2</cp:revision>
  <dcterms:created xsi:type="dcterms:W3CDTF">2026-02-26T14:43:00Z</dcterms:created>
  <dcterms:modified xsi:type="dcterms:W3CDTF">2026-02-26T14:43:00Z</dcterms:modified>
</cp:coreProperties>
</file>