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422385" w14:paraId="2577F284" w14:textId="77777777">
        <w:trPr>
          <w:tblCellSpacing w:w="60" w:type="dxa"/>
        </w:trPr>
        <w:tc>
          <w:tcPr>
            <w:tcW w:w="1200" w:type="pct"/>
            <w:shd w:val="clear" w:color="auto" w:fill="E7F0F9"/>
          </w:tcPr>
          <w:p w14:paraId="073098C4" w14:textId="77777777" w:rsidR="00422385" w:rsidRDefault="00000000">
            <w:pPr>
              <w:spacing w:after="0" w:line="240" w:lineRule="auto"/>
            </w:pPr>
            <w:r>
              <w:rPr>
                <w:b/>
              </w:rPr>
              <w:t>RKP broj</w:t>
            </w:r>
          </w:p>
        </w:tc>
        <w:tc>
          <w:tcPr>
            <w:tcW w:w="0" w:type="auto"/>
            <w:shd w:val="clear" w:color="auto" w:fill="E7F0F9"/>
          </w:tcPr>
          <w:p w14:paraId="6E614A9A" w14:textId="77777777" w:rsidR="00422385" w:rsidRDefault="00000000">
            <w:pPr>
              <w:spacing w:after="0" w:line="240" w:lineRule="auto"/>
            </w:pPr>
            <w:r>
              <w:t>36209</w:t>
            </w:r>
          </w:p>
        </w:tc>
      </w:tr>
      <w:tr w:rsidR="00422385" w14:paraId="38992758" w14:textId="77777777">
        <w:trPr>
          <w:tblCellSpacing w:w="60" w:type="dxa"/>
        </w:trPr>
        <w:tc>
          <w:tcPr>
            <w:tcW w:w="1200" w:type="pct"/>
            <w:shd w:val="clear" w:color="auto" w:fill="E7F0F9"/>
          </w:tcPr>
          <w:p w14:paraId="059F77DD" w14:textId="77777777" w:rsidR="00422385" w:rsidRDefault="00000000">
            <w:pPr>
              <w:spacing w:after="0" w:line="240" w:lineRule="auto"/>
            </w:pPr>
            <w:r>
              <w:rPr>
                <w:b/>
              </w:rPr>
              <w:t>Naziv obveznika</w:t>
            </w:r>
          </w:p>
        </w:tc>
        <w:tc>
          <w:tcPr>
            <w:tcW w:w="0" w:type="auto"/>
            <w:shd w:val="clear" w:color="auto" w:fill="E7F0F9"/>
          </w:tcPr>
          <w:p w14:paraId="51C61ED1" w14:textId="77777777" w:rsidR="00422385" w:rsidRDefault="00000000">
            <w:pPr>
              <w:spacing w:after="0" w:line="240" w:lineRule="auto"/>
            </w:pPr>
            <w:r>
              <w:t>OPĆINA FAŽANA</w:t>
            </w:r>
          </w:p>
        </w:tc>
      </w:tr>
      <w:tr w:rsidR="00422385" w14:paraId="1171EED4" w14:textId="77777777">
        <w:trPr>
          <w:tblCellSpacing w:w="60" w:type="dxa"/>
        </w:trPr>
        <w:tc>
          <w:tcPr>
            <w:tcW w:w="1200" w:type="pct"/>
            <w:shd w:val="clear" w:color="auto" w:fill="E7F0F9"/>
          </w:tcPr>
          <w:p w14:paraId="668738A1" w14:textId="77777777" w:rsidR="00422385" w:rsidRDefault="00000000">
            <w:pPr>
              <w:spacing w:after="0" w:line="240" w:lineRule="auto"/>
            </w:pPr>
            <w:r>
              <w:rPr>
                <w:b/>
              </w:rPr>
              <w:t>Razina</w:t>
            </w:r>
          </w:p>
        </w:tc>
        <w:tc>
          <w:tcPr>
            <w:tcW w:w="0" w:type="auto"/>
            <w:shd w:val="clear" w:color="auto" w:fill="E7F0F9"/>
          </w:tcPr>
          <w:p w14:paraId="6C945446" w14:textId="77777777" w:rsidR="00422385" w:rsidRDefault="00000000">
            <w:pPr>
              <w:spacing w:after="0" w:line="240" w:lineRule="auto"/>
            </w:pPr>
            <w:r>
              <w:t>22</w:t>
            </w:r>
          </w:p>
        </w:tc>
      </w:tr>
    </w:tbl>
    <w:p w14:paraId="5AE3F5FC" w14:textId="77777777" w:rsidR="00422385" w:rsidRDefault="00000000">
      <w:r>
        <w:br/>
      </w:r>
    </w:p>
    <w:p w14:paraId="76609C82" w14:textId="77777777" w:rsidR="00422385" w:rsidRDefault="00000000">
      <w:pPr>
        <w:spacing w:line="240" w:lineRule="auto"/>
        <w:jc w:val="center"/>
      </w:pPr>
      <w:r>
        <w:rPr>
          <w:b/>
          <w:sz w:val="28"/>
        </w:rPr>
        <w:t>BILJEŠKE UZ FINANCIJSKE IZVJEŠTAJE</w:t>
      </w:r>
    </w:p>
    <w:p w14:paraId="736130DE" w14:textId="77777777" w:rsidR="00422385" w:rsidRDefault="00000000">
      <w:pPr>
        <w:spacing w:line="240" w:lineRule="auto"/>
        <w:jc w:val="center"/>
      </w:pPr>
      <w:r>
        <w:rPr>
          <w:b/>
          <w:sz w:val="28"/>
        </w:rPr>
        <w:t>ZA RAZDOBLJE</w:t>
      </w:r>
    </w:p>
    <w:p w14:paraId="729CA869" w14:textId="77777777" w:rsidR="00422385" w:rsidRDefault="00000000">
      <w:pPr>
        <w:spacing w:line="240" w:lineRule="auto"/>
        <w:jc w:val="center"/>
      </w:pPr>
      <w:r>
        <w:rPr>
          <w:b/>
          <w:sz w:val="28"/>
        </w:rPr>
        <w:t>I - XII 2025.</w:t>
      </w:r>
    </w:p>
    <w:p w14:paraId="6700DC4B" w14:textId="77777777" w:rsidR="00F20266" w:rsidRDefault="00F20266" w:rsidP="00F20266">
      <w:pPr>
        <w:jc w:val="both"/>
      </w:pPr>
      <w:r>
        <w:t>Sukladno odredbama članka 15. do članka 19. Pravilnika o financijskom izvještavanju u proračunskom računovodstvu (˝Narodne novine˝, broj 37/2022.) sastavljaju se Bilješke uz financijske izvještaje Općine Fažana za izvještajno razdoblje od 1. siječnja do 31. prosinca 2025. godine kao objašnjenje i dopuna podataka za određene stavke iz izvještaja, i to kako slijedi:</w:t>
      </w:r>
    </w:p>
    <w:p w14:paraId="49F2B90C" w14:textId="77777777" w:rsidR="00F20266" w:rsidRDefault="00F20266" w:rsidP="00F20266">
      <w:pPr>
        <w:jc w:val="both"/>
      </w:pPr>
    </w:p>
    <w:p w14:paraId="7749722C" w14:textId="77777777" w:rsidR="00F20266" w:rsidRDefault="00F20266" w:rsidP="00F20266">
      <w:pPr>
        <w:keepNext/>
        <w:spacing w:line="240" w:lineRule="auto"/>
        <w:jc w:val="center"/>
        <w:rPr>
          <w:b/>
          <w:sz w:val="28"/>
        </w:rPr>
      </w:pPr>
      <w:r>
        <w:rPr>
          <w:b/>
          <w:sz w:val="28"/>
        </w:rPr>
        <w:t>Izvještaj o prihodima i rashodima, primicima i izdacima</w:t>
      </w:r>
    </w:p>
    <w:p w14:paraId="13025C0A" w14:textId="77777777" w:rsidR="00422385"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72010E6D" w14:textId="77777777">
        <w:trPr>
          <w:cantSplit/>
        </w:trPr>
        <w:tc>
          <w:tcPr>
            <w:tcW w:w="700" w:type="dxa"/>
            <w:shd w:val="clear" w:color="auto" w:fill="E7F0F9"/>
            <w:tcMar>
              <w:top w:w="0" w:type="dxa"/>
              <w:bottom w:w="0" w:type="dxa"/>
            </w:tcMar>
            <w:vAlign w:val="center"/>
          </w:tcPr>
          <w:p w14:paraId="5C919D62" w14:textId="77777777" w:rsidR="0042238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4FA9D1" w14:textId="77777777" w:rsidR="0042238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32A25F" w14:textId="77777777" w:rsidR="0042238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8C027D" w14:textId="77777777" w:rsidR="0042238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481F12" w14:textId="77777777" w:rsidR="0042238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DCCF14" w14:textId="77777777" w:rsidR="00422385" w:rsidRDefault="00000000">
            <w:pPr>
              <w:keepNext/>
              <w:keepLines/>
              <w:spacing w:after="0" w:line="240" w:lineRule="auto"/>
              <w:jc w:val="center"/>
            </w:pPr>
            <w:r>
              <w:rPr>
                <w:b/>
                <w:sz w:val="18"/>
              </w:rPr>
              <w:t>Indeks (%)</w:t>
            </w:r>
          </w:p>
        </w:tc>
      </w:tr>
      <w:tr w:rsidR="00422385" w14:paraId="469473E2" w14:textId="77777777">
        <w:trPr>
          <w:cantSplit/>
          <w:trHeight w:val="560"/>
        </w:trPr>
        <w:tc>
          <w:tcPr>
            <w:tcW w:w="700" w:type="dxa"/>
            <w:tcMar>
              <w:top w:w="0" w:type="dxa"/>
              <w:bottom w:w="0" w:type="dxa"/>
            </w:tcMar>
            <w:vAlign w:val="center"/>
          </w:tcPr>
          <w:p w14:paraId="2D935579" w14:textId="77777777" w:rsidR="00422385" w:rsidRDefault="00000000">
            <w:pPr>
              <w:keepNext/>
              <w:keepLines/>
              <w:spacing w:after="0" w:line="240" w:lineRule="auto"/>
            </w:pPr>
            <w:r>
              <w:rPr>
                <w:sz w:val="18"/>
              </w:rPr>
              <w:t>6</w:t>
            </w:r>
          </w:p>
        </w:tc>
        <w:tc>
          <w:tcPr>
            <w:tcW w:w="3180" w:type="dxa"/>
            <w:tcMar>
              <w:top w:w="0" w:type="dxa"/>
              <w:bottom w:w="0" w:type="dxa"/>
            </w:tcMar>
            <w:vAlign w:val="center"/>
          </w:tcPr>
          <w:p w14:paraId="0842CFC3" w14:textId="77777777" w:rsidR="00422385"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629264A" w14:textId="77777777" w:rsidR="00422385" w:rsidRDefault="00000000">
            <w:pPr>
              <w:keepNext/>
              <w:keepLines/>
              <w:spacing w:after="0" w:line="240" w:lineRule="auto"/>
            </w:pPr>
            <w:r>
              <w:rPr>
                <w:sz w:val="18"/>
              </w:rPr>
              <w:t>6</w:t>
            </w:r>
          </w:p>
        </w:tc>
        <w:tc>
          <w:tcPr>
            <w:tcW w:w="1860" w:type="dxa"/>
            <w:tcMar>
              <w:top w:w="0" w:type="dxa"/>
              <w:bottom w:w="0" w:type="dxa"/>
            </w:tcMar>
            <w:vAlign w:val="center"/>
          </w:tcPr>
          <w:p w14:paraId="73AE8C11" w14:textId="77777777" w:rsidR="00422385" w:rsidRDefault="00000000">
            <w:pPr>
              <w:keepNext/>
              <w:keepLines/>
              <w:spacing w:after="0" w:line="240" w:lineRule="auto"/>
              <w:jc w:val="right"/>
            </w:pPr>
            <w:r>
              <w:rPr>
                <w:sz w:val="18"/>
              </w:rPr>
              <w:t>7.229.062,32</w:t>
            </w:r>
          </w:p>
        </w:tc>
        <w:tc>
          <w:tcPr>
            <w:tcW w:w="1860" w:type="dxa"/>
            <w:tcMar>
              <w:top w:w="0" w:type="dxa"/>
              <w:bottom w:w="0" w:type="dxa"/>
            </w:tcMar>
            <w:vAlign w:val="center"/>
          </w:tcPr>
          <w:p w14:paraId="0A40684F" w14:textId="77777777" w:rsidR="00422385" w:rsidRDefault="00000000">
            <w:pPr>
              <w:keepNext/>
              <w:keepLines/>
              <w:spacing w:after="0" w:line="240" w:lineRule="auto"/>
              <w:jc w:val="right"/>
            </w:pPr>
            <w:r>
              <w:rPr>
                <w:sz w:val="18"/>
              </w:rPr>
              <w:t>8.181.423,72</w:t>
            </w:r>
          </w:p>
        </w:tc>
        <w:tc>
          <w:tcPr>
            <w:tcW w:w="700" w:type="dxa"/>
            <w:tcMar>
              <w:top w:w="0" w:type="dxa"/>
              <w:bottom w:w="0" w:type="dxa"/>
            </w:tcMar>
            <w:vAlign w:val="center"/>
          </w:tcPr>
          <w:p w14:paraId="63EE4330" w14:textId="77777777" w:rsidR="00422385" w:rsidRDefault="00000000">
            <w:pPr>
              <w:keepNext/>
              <w:keepLines/>
              <w:spacing w:after="0" w:line="240" w:lineRule="auto"/>
              <w:jc w:val="right"/>
            </w:pPr>
            <w:r>
              <w:rPr>
                <w:sz w:val="18"/>
              </w:rPr>
              <w:t>113,2</w:t>
            </w:r>
          </w:p>
        </w:tc>
      </w:tr>
      <w:tr w:rsidR="00422385" w14:paraId="34E0B717" w14:textId="77777777">
        <w:trPr>
          <w:cantSplit/>
          <w:trHeight w:val="560"/>
        </w:trPr>
        <w:tc>
          <w:tcPr>
            <w:tcW w:w="700" w:type="dxa"/>
            <w:tcMar>
              <w:top w:w="0" w:type="dxa"/>
              <w:bottom w:w="0" w:type="dxa"/>
            </w:tcMar>
            <w:vAlign w:val="center"/>
          </w:tcPr>
          <w:p w14:paraId="482E9113" w14:textId="77777777" w:rsidR="00422385" w:rsidRDefault="00000000">
            <w:pPr>
              <w:keepNext/>
              <w:keepLines/>
              <w:spacing w:after="0" w:line="240" w:lineRule="auto"/>
            </w:pPr>
            <w:r>
              <w:rPr>
                <w:sz w:val="18"/>
              </w:rPr>
              <w:t>3</w:t>
            </w:r>
          </w:p>
        </w:tc>
        <w:tc>
          <w:tcPr>
            <w:tcW w:w="3180" w:type="dxa"/>
            <w:tcMar>
              <w:top w:w="0" w:type="dxa"/>
              <w:bottom w:w="0" w:type="dxa"/>
            </w:tcMar>
            <w:vAlign w:val="center"/>
          </w:tcPr>
          <w:p w14:paraId="3D8055ED" w14:textId="77777777" w:rsidR="00422385"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F6D3EA2" w14:textId="77777777" w:rsidR="00422385" w:rsidRDefault="00000000">
            <w:pPr>
              <w:keepNext/>
              <w:keepLines/>
              <w:spacing w:after="0" w:line="240" w:lineRule="auto"/>
            </w:pPr>
            <w:r>
              <w:rPr>
                <w:sz w:val="18"/>
              </w:rPr>
              <w:t>3</w:t>
            </w:r>
          </w:p>
        </w:tc>
        <w:tc>
          <w:tcPr>
            <w:tcW w:w="1860" w:type="dxa"/>
            <w:tcMar>
              <w:top w:w="0" w:type="dxa"/>
              <w:bottom w:w="0" w:type="dxa"/>
            </w:tcMar>
            <w:vAlign w:val="center"/>
          </w:tcPr>
          <w:p w14:paraId="1D08CF61" w14:textId="77777777" w:rsidR="00422385" w:rsidRDefault="00000000">
            <w:pPr>
              <w:keepNext/>
              <w:keepLines/>
              <w:spacing w:after="0" w:line="240" w:lineRule="auto"/>
              <w:jc w:val="right"/>
            </w:pPr>
            <w:r>
              <w:rPr>
                <w:sz w:val="18"/>
              </w:rPr>
              <w:t>5.183.818,44</w:t>
            </w:r>
          </w:p>
        </w:tc>
        <w:tc>
          <w:tcPr>
            <w:tcW w:w="1860" w:type="dxa"/>
            <w:tcMar>
              <w:top w:w="0" w:type="dxa"/>
              <w:bottom w:w="0" w:type="dxa"/>
            </w:tcMar>
            <w:vAlign w:val="center"/>
          </w:tcPr>
          <w:p w14:paraId="76087FE5" w14:textId="77777777" w:rsidR="00422385" w:rsidRDefault="00000000">
            <w:pPr>
              <w:keepNext/>
              <w:keepLines/>
              <w:spacing w:after="0" w:line="240" w:lineRule="auto"/>
              <w:jc w:val="right"/>
            </w:pPr>
            <w:r>
              <w:rPr>
                <w:sz w:val="18"/>
              </w:rPr>
              <w:t>5.889.795,06</w:t>
            </w:r>
          </w:p>
        </w:tc>
        <w:tc>
          <w:tcPr>
            <w:tcW w:w="700" w:type="dxa"/>
            <w:tcMar>
              <w:top w:w="0" w:type="dxa"/>
              <w:bottom w:w="0" w:type="dxa"/>
            </w:tcMar>
            <w:vAlign w:val="center"/>
          </w:tcPr>
          <w:p w14:paraId="3F1F7538" w14:textId="77777777" w:rsidR="00422385" w:rsidRDefault="00000000">
            <w:pPr>
              <w:keepNext/>
              <w:keepLines/>
              <w:spacing w:after="0" w:line="240" w:lineRule="auto"/>
              <w:jc w:val="right"/>
            </w:pPr>
            <w:r>
              <w:rPr>
                <w:sz w:val="18"/>
              </w:rPr>
              <w:t>113,6</w:t>
            </w:r>
          </w:p>
        </w:tc>
      </w:tr>
      <w:tr w:rsidR="00422385" w14:paraId="7F426990" w14:textId="77777777">
        <w:trPr>
          <w:cantSplit/>
          <w:trHeight w:val="560"/>
        </w:trPr>
        <w:tc>
          <w:tcPr>
            <w:tcW w:w="700" w:type="dxa"/>
            <w:tcMar>
              <w:top w:w="0" w:type="dxa"/>
              <w:bottom w:w="0" w:type="dxa"/>
            </w:tcMar>
            <w:vAlign w:val="center"/>
          </w:tcPr>
          <w:p w14:paraId="2BDCCDB7" w14:textId="77777777" w:rsidR="00422385" w:rsidRDefault="00422385">
            <w:pPr>
              <w:keepNext/>
              <w:keepLines/>
              <w:spacing w:after="0" w:line="240" w:lineRule="auto"/>
            </w:pPr>
          </w:p>
        </w:tc>
        <w:tc>
          <w:tcPr>
            <w:tcW w:w="3180" w:type="dxa"/>
            <w:tcMar>
              <w:top w:w="0" w:type="dxa"/>
              <w:bottom w:w="0" w:type="dxa"/>
            </w:tcMar>
            <w:vAlign w:val="center"/>
          </w:tcPr>
          <w:p w14:paraId="50CCAF95" w14:textId="77777777" w:rsidR="00422385"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5778D99E" w14:textId="77777777" w:rsidR="00422385" w:rsidRDefault="00000000">
            <w:pPr>
              <w:keepNext/>
              <w:keepLines/>
              <w:spacing w:after="0" w:line="240" w:lineRule="auto"/>
            </w:pPr>
            <w:r>
              <w:rPr>
                <w:b/>
                <w:sz w:val="18"/>
              </w:rPr>
              <w:t>X001</w:t>
            </w:r>
          </w:p>
        </w:tc>
        <w:tc>
          <w:tcPr>
            <w:tcW w:w="1860" w:type="dxa"/>
            <w:tcMar>
              <w:top w:w="0" w:type="dxa"/>
              <w:bottom w:w="0" w:type="dxa"/>
            </w:tcMar>
            <w:vAlign w:val="center"/>
          </w:tcPr>
          <w:p w14:paraId="52417137" w14:textId="77777777" w:rsidR="00422385" w:rsidRDefault="00000000">
            <w:pPr>
              <w:keepNext/>
              <w:keepLines/>
              <w:spacing w:after="0" w:line="240" w:lineRule="auto"/>
              <w:jc w:val="right"/>
            </w:pPr>
            <w:r>
              <w:rPr>
                <w:b/>
                <w:sz w:val="18"/>
              </w:rPr>
              <w:t>2.045.243,88</w:t>
            </w:r>
          </w:p>
        </w:tc>
        <w:tc>
          <w:tcPr>
            <w:tcW w:w="1860" w:type="dxa"/>
            <w:tcMar>
              <w:top w:w="0" w:type="dxa"/>
              <w:bottom w:w="0" w:type="dxa"/>
            </w:tcMar>
            <w:vAlign w:val="center"/>
          </w:tcPr>
          <w:p w14:paraId="33A13D9F" w14:textId="77777777" w:rsidR="00422385" w:rsidRDefault="00000000">
            <w:pPr>
              <w:keepNext/>
              <w:keepLines/>
              <w:spacing w:after="0" w:line="240" w:lineRule="auto"/>
              <w:jc w:val="right"/>
            </w:pPr>
            <w:r>
              <w:rPr>
                <w:b/>
                <w:sz w:val="18"/>
              </w:rPr>
              <w:t>2.291.628,66</w:t>
            </w:r>
          </w:p>
        </w:tc>
        <w:tc>
          <w:tcPr>
            <w:tcW w:w="700" w:type="dxa"/>
            <w:tcMar>
              <w:top w:w="0" w:type="dxa"/>
              <w:bottom w:w="0" w:type="dxa"/>
            </w:tcMar>
            <w:vAlign w:val="center"/>
          </w:tcPr>
          <w:p w14:paraId="4BC5D327" w14:textId="77777777" w:rsidR="00422385" w:rsidRDefault="00000000">
            <w:pPr>
              <w:keepNext/>
              <w:keepLines/>
              <w:spacing w:after="0" w:line="240" w:lineRule="auto"/>
              <w:jc w:val="right"/>
            </w:pPr>
            <w:r>
              <w:rPr>
                <w:b/>
                <w:sz w:val="18"/>
              </w:rPr>
              <w:t>112,0</w:t>
            </w:r>
          </w:p>
        </w:tc>
      </w:tr>
      <w:tr w:rsidR="00422385" w14:paraId="1A0E0D60" w14:textId="77777777">
        <w:trPr>
          <w:cantSplit/>
          <w:trHeight w:val="560"/>
        </w:trPr>
        <w:tc>
          <w:tcPr>
            <w:tcW w:w="700" w:type="dxa"/>
            <w:tcMar>
              <w:top w:w="0" w:type="dxa"/>
              <w:bottom w:w="0" w:type="dxa"/>
            </w:tcMar>
            <w:vAlign w:val="center"/>
          </w:tcPr>
          <w:p w14:paraId="31D8B6D2" w14:textId="77777777" w:rsidR="00422385" w:rsidRDefault="00000000">
            <w:pPr>
              <w:keepNext/>
              <w:keepLines/>
              <w:spacing w:after="0" w:line="240" w:lineRule="auto"/>
            </w:pPr>
            <w:r>
              <w:rPr>
                <w:sz w:val="18"/>
              </w:rPr>
              <w:t>7</w:t>
            </w:r>
          </w:p>
        </w:tc>
        <w:tc>
          <w:tcPr>
            <w:tcW w:w="3180" w:type="dxa"/>
            <w:tcMar>
              <w:top w:w="0" w:type="dxa"/>
              <w:bottom w:w="0" w:type="dxa"/>
            </w:tcMar>
            <w:vAlign w:val="center"/>
          </w:tcPr>
          <w:p w14:paraId="61EA535B" w14:textId="77777777" w:rsidR="00422385"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58CA551" w14:textId="77777777" w:rsidR="00422385" w:rsidRDefault="00000000">
            <w:pPr>
              <w:keepNext/>
              <w:keepLines/>
              <w:spacing w:after="0" w:line="240" w:lineRule="auto"/>
            </w:pPr>
            <w:r>
              <w:rPr>
                <w:sz w:val="18"/>
              </w:rPr>
              <w:t>7</w:t>
            </w:r>
          </w:p>
        </w:tc>
        <w:tc>
          <w:tcPr>
            <w:tcW w:w="1860" w:type="dxa"/>
            <w:tcMar>
              <w:top w:w="0" w:type="dxa"/>
              <w:bottom w:w="0" w:type="dxa"/>
            </w:tcMar>
            <w:vAlign w:val="center"/>
          </w:tcPr>
          <w:p w14:paraId="2FAF1DC5" w14:textId="77777777" w:rsidR="00422385" w:rsidRDefault="00000000">
            <w:pPr>
              <w:keepNext/>
              <w:keepLines/>
              <w:spacing w:after="0" w:line="240" w:lineRule="auto"/>
              <w:jc w:val="right"/>
            </w:pPr>
            <w:r>
              <w:rPr>
                <w:sz w:val="18"/>
              </w:rPr>
              <w:t>3.737,90</w:t>
            </w:r>
          </w:p>
        </w:tc>
        <w:tc>
          <w:tcPr>
            <w:tcW w:w="1860" w:type="dxa"/>
            <w:tcMar>
              <w:top w:w="0" w:type="dxa"/>
              <w:bottom w:w="0" w:type="dxa"/>
            </w:tcMar>
            <w:vAlign w:val="center"/>
          </w:tcPr>
          <w:p w14:paraId="6C15E674" w14:textId="77777777" w:rsidR="00422385" w:rsidRDefault="00000000">
            <w:pPr>
              <w:keepNext/>
              <w:keepLines/>
              <w:spacing w:after="0" w:line="240" w:lineRule="auto"/>
              <w:jc w:val="right"/>
            </w:pPr>
            <w:r>
              <w:rPr>
                <w:sz w:val="18"/>
              </w:rPr>
              <w:t>1.340.807,29</w:t>
            </w:r>
          </w:p>
        </w:tc>
        <w:tc>
          <w:tcPr>
            <w:tcW w:w="700" w:type="dxa"/>
            <w:tcMar>
              <w:top w:w="0" w:type="dxa"/>
              <w:bottom w:w="0" w:type="dxa"/>
            </w:tcMar>
            <w:vAlign w:val="center"/>
          </w:tcPr>
          <w:p w14:paraId="1F36F2D1" w14:textId="77777777" w:rsidR="00422385" w:rsidRDefault="00000000">
            <w:pPr>
              <w:keepNext/>
              <w:keepLines/>
              <w:spacing w:after="0" w:line="240" w:lineRule="auto"/>
              <w:jc w:val="right"/>
            </w:pPr>
            <w:r>
              <w:rPr>
                <w:sz w:val="18"/>
              </w:rPr>
              <w:t>&gt;&gt;100</w:t>
            </w:r>
          </w:p>
        </w:tc>
      </w:tr>
      <w:tr w:rsidR="00422385" w14:paraId="44F3CB19" w14:textId="77777777">
        <w:trPr>
          <w:cantSplit/>
          <w:trHeight w:val="560"/>
        </w:trPr>
        <w:tc>
          <w:tcPr>
            <w:tcW w:w="700" w:type="dxa"/>
            <w:tcMar>
              <w:top w:w="0" w:type="dxa"/>
              <w:bottom w:w="0" w:type="dxa"/>
            </w:tcMar>
            <w:vAlign w:val="center"/>
          </w:tcPr>
          <w:p w14:paraId="2823E05C" w14:textId="77777777" w:rsidR="00422385" w:rsidRDefault="00000000">
            <w:pPr>
              <w:keepNext/>
              <w:keepLines/>
              <w:spacing w:after="0" w:line="240" w:lineRule="auto"/>
            </w:pPr>
            <w:r>
              <w:rPr>
                <w:sz w:val="18"/>
              </w:rPr>
              <w:t>4</w:t>
            </w:r>
          </w:p>
        </w:tc>
        <w:tc>
          <w:tcPr>
            <w:tcW w:w="3180" w:type="dxa"/>
            <w:tcMar>
              <w:top w:w="0" w:type="dxa"/>
              <w:bottom w:w="0" w:type="dxa"/>
            </w:tcMar>
            <w:vAlign w:val="center"/>
          </w:tcPr>
          <w:p w14:paraId="03630404" w14:textId="77777777" w:rsidR="00422385"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89DB1B9" w14:textId="77777777" w:rsidR="00422385" w:rsidRDefault="00000000">
            <w:pPr>
              <w:keepNext/>
              <w:keepLines/>
              <w:spacing w:after="0" w:line="240" w:lineRule="auto"/>
            </w:pPr>
            <w:r>
              <w:rPr>
                <w:sz w:val="18"/>
              </w:rPr>
              <w:t>4</w:t>
            </w:r>
          </w:p>
        </w:tc>
        <w:tc>
          <w:tcPr>
            <w:tcW w:w="1860" w:type="dxa"/>
            <w:tcMar>
              <w:top w:w="0" w:type="dxa"/>
              <w:bottom w:w="0" w:type="dxa"/>
            </w:tcMar>
            <w:vAlign w:val="center"/>
          </w:tcPr>
          <w:p w14:paraId="24B7B663" w14:textId="77777777" w:rsidR="00422385" w:rsidRDefault="00000000">
            <w:pPr>
              <w:keepNext/>
              <w:keepLines/>
              <w:spacing w:after="0" w:line="240" w:lineRule="auto"/>
              <w:jc w:val="right"/>
            </w:pPr>
            <w:r>
              <w:rPr>
                <w:sz w:val="18"/>
              </w:rPr>
              <w:t>2.663.061,81</w:t>
            </w:r>
          </w:p>
        </w:tc>
        <w:tc>
          <w:tcPr>
            <w:tcW w:w="1860" w:type="dxa"/>
            <w:tcMar>
              <w:top w:w="0" w:type="dxa"/>
              <w:bottom w:w="0" w:type="dxa"/>
            </w:tcMar>
            <w:vAlign w:val="center"/>
          </w:tcPr>
          <w:p w14:paraId="36DCC5F0" w14:textId="77777777" w:rsidR="00422385" w:rsidRDefault="00000000">
            <w:pPr>
              <w:keepNext/>
              <w:keepLines/>
              <w:spacing w:after="0" w:line="240" w:lineRule="auto"/>
              <w:jc w:val="right"/>
            </w:pPr>
            <w:r>
              <w:rPr>
                <w:sz w:val="18"/>
              </w:rPr>
              <w:t>3.955.125,70</w:t>
            </w:r>
          </w:p>
        </w:tc>
        <w:tc>
          <w:tcPr>
            <w:tcW w:w="700" w:type="dxa"/>
            <w:tcMar>
              <w:top w:w="0" w:type="dxa"/>
              <w:bottom w:w="0" w:type="dxa"/>
            </w:tcMar>
            <w:vAlign w:val="center"/>
          </w:tcPr>
          <w:p w14:paraId="4EA25716" w14:textId="77777777" w:rsidR="00422385" w:rsidRDefault="00000000">
            <w:pPr>
              <w:keepNext/>
              <w:keepLines/>
              <w:spacing w:after="0" w:line="240" w:lineRule="auto"/>
              <w:jc w:val="right"/>
            </w:pPr>
            <w:r>
              <w:rPr>
                <w:sz w:val="18"/>
              </w:rPr>
              <w:t>148,5</w:t>
            </w:r>
          </w:p>
        </w:tc>
      </w:tr>
      <w:tr w:rsidR="00422385" w14:paraId="70A0948B" w14:textId="77777777">
        <w:trPr>
          <w:cantSplit/>
          <w:trHeight w:val="560"/>
        </w:trPr>
        <w:tc>
          <w:tcPr>
            <w:tcW w:w="700" w:type="dxa"/>
            <w:tcMar>
              <w:top w:w="0" w:type="dxa"/>
              <w:bottom w:w="0" w:type="dxa"/>
            </w:tcMar>
            <w:vAlign w:val="center"/>
          </w:tcPr>
          <w:p w14:paraId="57C34B55" w14:textId="77777777" w:rsidR="00422385" w:rsidRDefault="00422385">
            <w:pPr>
              <w:keepNext/>
              <w:keepLines/>
              <w:spacing w:after="0" w:line="240" w:lineRule="auto"/>
            </w:pPr>
          </w:p>
        </w:tc>
        <w:tc>
          <w:tcPr>
            <w:tcW w:w="3180" w:type="dxa"/>
            <w:tcMar>
              <w:top w:w="0" w:type="dxa"/>
              <w:bottom w:w="0" w:type="dxa"/>
            </w:tcMar>
            <w:vAlign w:val="center"/>
          </w:tcPr>
          <w:p w14:paraId="7A2DE021" w14:textId="77777777" w:rsidR="00422385"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CFC538A" w14:textId="77777777" w:rsidR="00422385" w:rsidRDefault="00000000">
            <w:pPr>
              <w:keepNext/>
              <w:keepLines/>
              <w:spacing w:after="0" w:line="240" w:lineRule="auto"/>
            </w:pPr>
            <w:r>
              <w:rPr>
                <w:b/>
                <w:sz w:val="18"/>
              </w:rPr>
              <w:t>Y002</w:t>
            </w:r>
          </w:p>
        </w:tc>
        <w:tc>
          <w:tcPr>
            <w:tcW w:w="1860" w:type="dxa"/>
            <w:tcMar>
              <w:top w:w="0" w:type="dxa"/>
              <w:bottom w:w="0" w:type="dxa"/>
            </w:tcMar>
            <w:vAlign w:val="center"/>
          </w:tcPr>
          <w:p w14:paraId="071DB139" w14:textId="77777777" w:rsidR="00422385" w:rsidRDefault="00000000">
            <w:pPr>
              <w:keepNext/>
              <w:keepLines/>
              <w:spacing w:after="0" w:line="240" w:lineRule="auto"/>
              <w:jc w:val="right"/>
            </w:pPr>
            <w:r>
              <w:rPr>
                <w:b/>
                <w:sz w:val="18"/>
              </w:rPr>
              <w:t>2.659.323,91</w:t>
            </w:r>
          </w:p>
        </w:tc>
        <w:tc>
          <w:tcPr>
            <w:tcW w:w="1860" w:type="dxa"/>
            <w:tcMar>
              <w:top w:w="0" w:type="dxa"/>
              <w:bottom w:w="0" w:type="dxa"/>
            </w:tcMar>
            <w:vAlign w:val="center"/>
          </w:tcPr>
          <w:p w14:paraId="19249440" w14:textId="77777777" w:rsidR="00422385" w:rsidRDefault="00000000">
            <w:pPr>
              <w:keepNext/>
              <w:keepLines/>
              <w:spacing w:after="0" w:line="240" w:lineRule="auto"/>
              <w:jc w:val="right"/>
            </w:pPr>
            <w:r>
              <w:rPr>
                <w:b/>
                <w:sz w:val="18"/>
              </w:rPr>
              <w:t>2.614.318,41</w:t>
            </w:r>
          </w:p>
        </w:tc>
        <w:tc>
          <w:tcPr>
            <w:tcW w:w="700" w:type="dxa"/>
            <w:tcMar>
              <w:top w:w="0" w:type="dxa"/>
              <w:bottom w:w="0" w:type="dxa"/>
            </w:tcMar>
            <w:vAlign w:val="center"/>
          </w:tcPr>
          <w:p w14:paraId="2B582C19" w14:textId="77777777" w:rsidR="00422385" w:rsidRDefault="00000000">
            <w:pPr>
              <w:keepNext/>
              <w:keepLines/>
              <w:spacing w:after="0" w:line="240" w:lineRule="auto"/>
              <w:jc w:val="right"/>
            </w:pPr>
            <w:r>
              <w:rPr>
                <w:b/>
                <w:sz w:val="18"/>
              </w:rPr>
              <w:t>98,3</w:t>
            </w:r>
          </w:p>
        </w:tc>
      </w:tr>
      <w:tr w:rsidR="00422385" w14:paraId="38291B0F" w14:textId="77777777">
        <w:trPr>
          <w:cantSplit/>
          <w:trHeight w:val="560"/>
        </w:trPr>
        <w:tc>
          <w:tcPr>
            <w:tcW w:w="700" w:type="dxa"/>
            <w:tcMar>
              <w:top w:w="0" w:type="dxa"/>
              <w:bottom w:w="0" w:type="dxa"/>
            </w:tcMar>
            <w:vAlign w:val="center"/>
          </w:tcPr>
          <w:p w14:paraId="5B6F940D" w14:textId="77777777" w:rsidR="00422385" w:rsidRDefault="00000000">
            <w:pPr>
              <w:keepNext/>
              <w:keepLines/>
              <w:spacing w:after="0" w:line="240" w:lineRule="auto"/>
            </w:pPr>
            <w:r>
              <w:rPr>
                <w:sz w:val="18"/>
              </w:rPr>
              <w:t>8</w:t>
            </w:r>
          </w:p>
        </w:tc>
        <w:tc>
          <w:tcPr>
            <w:tcW w:w="3180" w:type="dxa"/>
            <w:tcMar>
              <w:top w:w="0" w:type="dxa"/>
              <w:bottom w:w="0" w:type="dxa"/>
            </w:tcMar>
            <w:vAlign w:val="center"/>
          </w:tcPr>
          <w:p w14:paraId="628FA4CA" w14:textId="77777777" w:rsidR="00422385"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BB1D311" w14:textId="77777777" w:rsidR="00422385" w:rsidRDefault="00000000">
            <w:pPr>
              <w:keepNext/>
              <w:keepLines/>
              <w:spacing w:after="0" w:line="240" w:lineRule="auto"/>
            </w:pPr>
            <w:r>
              <w:rPr>
                <w:sz w:val="18"/>
              </w:rPr>
              <w:t>8</w:t>
            </w:r>
          </w:p>
        </w:tc>
        <w:tc>
          <w:tcPr>
            <w:tcW w:w="1860" w:type="dxa"/>
            <w:tcMar>
              <w:top w:w="0" w:type="dxa"/>
              <w:bottom w:w="0" w:type="dxa"/>
            </w:tcMar>
            <w:vAlign w:val="center"/>
          </w:tcPr>
          <w:p w14:paraId="2FFB0C6B" w14:textId="77777777" w:rsidR="00422385" w:rsidRDefault="00000000">
            <w:pPr>
              <w:keepNext/>
              <w:keepLines/>
              <w:spacing w:after="0" w:line="240" w:lineRule="auto"/>
              <w:jc w:val="right"/>
            </w:pPr>
            <w:r>
              <w:rPr>
                <w:sz w:val="18"/>
              </w:rPr>
              <w:t>0,00</w:t>
            </w:r>
          </w:p>
        </w:tc>
        <w:tc>
          <w:tcPr>
            <w:tcW w:w="1860" w:type="dxa"/>
            <w:tcMar>
              <w:top w:w="0" w:type="dxa"/>
              <w:bottom w:w="0" w:type="dxa"/>
            </w:tcMar>
            <w:vAlign w:val="center"/>
          </w:tcPr>
          <w:p w14:paraId="4D182529" w14:textId="77777777" w:rsidR="00422385" w:rsidRDefault="00000000">
            <w:pPr>
              <w:keepNext/>
              <w:keepLines/>
              <w:spacing w:after="0" w:line="240" w:lineRule="auto"/>
              <w:jc w:val="right"/>
            </w:pPr>
            <w:r>
              <w:rPr>
                <w:sz w:val="18"/>
              </w:rPr>
              <w:t>522.930,92</w:t>
            </w:r>
          </w:p>
        </w:tc>
        <w:tc>
          <w:tcPr>
            <w:tcW w:w="700" w:type="dxa"/>
            <w:tcMar>
              <w:top w:w="0" w:type="dxa"/>
              <w:bottom w:w="0" w:type="dxa"/>
            </w:tcMar>
            <w:vAlign w:val="center"/>
          </w:tcPr>
          <w:p w14:paraId="325669E4" w14:textId="77777777" w:rsidR="00422385" w:rsidRDefault="00000000">
            <w:pPr>
              <w:keepNext/>
              <w:keepLines/>
              <w:spacing w:after="0" w:line="240" w:lineRule="auto"/>
              <w:jc w:val="right"/>
            </w:pPr>
            <w:r>
              <w:rPr>
                <w:sz w:val="18"/>
              </w:rPr>
              <w:t>-</w:t>
            </w:r>
          </w:p>
        </w:tc>
      </w:tr>
      <w:tr w:rsidR="00422385" w14:paraId="34BBA56E" w14:textId="77777777">
        <w:trPr>
          <w:cantSplit/>
          <w:trHeight w:val="560"/>
        </w:trPr>
        <w:tc>
          <w:tcPr>
            <w:tcW w:w="700" w:type="dxa"/>
            <w:tcMar>
              <w:top w:w="0" w:type="dxa"/>
              <w:bottom w:w="0" w:type="dxa"/>
            </w:tcMar>
            <w:vAlign w:val="center"/>
          </w:tcPr>
          <w:p w14:paraId="1BFFD004" w14:textId="77777777" w:rsidR="00422385" w:rsidRDefault="00000000">
            <w:pPr>
              <w:keepNext/>
              <w:keepLines/>
              <w:spacing w:after="0" w:line="240" w:lineRule="auto"/>
            </w:pPr>
            <w:r>
              <w:rPr>
                <w:sz w:val="18"/>
              </w:rPr>
              <w:t>5</w:t>
            </w:r>
          </w:p>
        </w:tc>
        <w:tc>
          <w:tcPr>
            <w:tcW w:w="3180" w:type="dxa"/>
            <w:tcMar>
              <w:top w:w="0" w:type="dxa"/>
              <w:bottom w:w="0" w:type="dxa"/>
            </w:tcMar>
            <w:vAlign w:val="center"/>
          </w:tcPr>
          <w:p w14:paraId="3FDBDA75" w14:textId="77777777" w:rsidR="00422385"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0588C66" w14:textId="77777777" w:rsidR="00422385" w:rsidRDefault="00000000">
            <w:pPr>
              <w:keepNext/>
              <w:keepLines/>
              <w:spacing w:after="0" w:line="240" w:lineRule="auto"/>
            </w:pPr>
            <w:r>
              <w:rPr>
                <w:sz w:val="18"/>
              </w:rPr>
              <w:t>5</w:t>
            </w:r>
          </w:p>
        </w:tc>
        <w:tc>
          <w:tcPr>
            <w:tcW w:w="1860" w:type="dxa"/>
            <w:tcMar>
              <w:top w:w="0" w:type="dxa"/>
              <w:bottom w:w="0" w:type="dxa"/>
            </w:tcMar>
            <w:vAlign w:val="center"/>
          </w:tcPr>
          <w:p w14:paraId="100F135A" w14:textId="77777777" w:rsidR="00422385" w:rsidRDefault="00000000">
            <w:pPr>
              <w:keepNext/>
              <w:keepLines/>
              <w:spacing w:after="0" w:line="240" w:lineRule="auto"/>
              <w:jc w:val="right"/>
            </w:pPr>
            <w:r>
              <w:rPr>
                <w:sz w:val="18"/>
              </w:rPr>
              <w:t>119.831,09</w:t>
            </w:r>
          </w:p>
        </w:tc>
        <w:tc>
          <w:tcPr>
            <w:tcW w:w="1860" w:type="dxa"/>
            <w:tcMar>
              <w:top w:w="0" w:type="dxa"/>
              <w:bottom w:w="0" w:type="dxa"/>
            </w:tcMar>
            <w:vAlign w:val="center"/>
          </w:tcPr>
          <w:p w14:paraId="2D66258F" w14:textId="77777777" w:rsidR="00422385" w:rsidRDefault="00000000">
            <w:pPr>
              <w:keepNext/>
              <w:keepLines/>
              <w:spacing w:after="0" w:line="240" w:lineRule="auto"/>
              <w:jc w:val="right"/>
            </w:pPr>
            <w:r>
              <w:rPr>
                <w:sz w:val="18"/>
              </w:rPr>
              <w:t>78.709,52</w:t>
            </w:r>
          </w:p>
        </w:tc>
        <w:tc>
          <w:tcPr>
            <w:tcW w:w="700" w:type="dxa"/>
            <w:tcMar>
              <w:top w:w="0" w:type="dxa"/>
              <w:bottom w:w="0" w:type="dxa"/>
            </w:tcMar>
            <w:vAlign w:val="center"/>
          </w:tcPr>
          <w:p w14:paraId="42BBABD3" w14:textId="77777777" w:rsidR="00422385" w:rsidRDefault="00000000">
            <w:pPr>
              <w:keepNext/>
              <w:keepLines/>
              <w:spacing w:after="0" w:line="240" w:lineRule="auto"/>
              <w:jc w:val="right"/>
            </w:pPr>
            <w:r>
              <w:rPr>
                <w:sz w:val="18"/>
              </w:rPr>
              <w:t>65,7</w:t>
            </w:r>
          </w:p>
        </w:tc>
      </w:tr>
      <w:tr w:rsidR="00422385" w14:paraId="07772072" w14:textId="77777777">
        <w:trPr>
          <w:cantSplit/>
          <w:trHeight w:val="560"/>
        </w:trPr>
        <w:tc>
          <w:tcPr>
            <w:tcW w:w="700" w:type="dxa"/>
            <w:tcMar>
              <w:top w:w="0" w:type="dxa"/>
              <w:bottom w:w="0" w:type="dxa"/>
            </w:tcMar>
            <w:vAlign w:val="center"/>
          </w:tcPr>
          <w:p w14:paraId="1DC63665" w14:textId="77777777" w:rsidR="00422385" w:rsidRDefault="00422385">
            <w:pPr>
              <w:keepNext/>
              <w:keepLines/>
              <w:spacing w:after="0" w:line="240" w:lineRule="auto"/>
            </w:pPr>
          </w:p>
        </w:tc>
        <w:tc>
          <w:tcPr>
            <w:tcW w:w="3180" w:type="dxa"/>
            <w:tcMar>
              <w:top w:w="0" w:type="dxa"/>
              <w:bottom w:w="0" w:type="dxa"/>
            </w:tcMar>
            <w:vAlign w:val="center"/>
          </w:tcPr>
          <w:p w14:paraId="58217477" w14:textId="77777777" w:rsidR="00422385"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167DE6C7" w14:textId="77777777" w:rsidR="00422385" w:rsidRDefault="00000000">
            <w:pPr>
              <w:keepNext/>
              <w:keepLines/>
              <w:spacing w:after="0" w:line="240" w:lineRule="auto"/>
            </w:pPr>
            <w:r>
              <w:rPr>
                <w:b/>
                <w:sz w:val="18"/>
              </w:rPr>
              <w:t>X003</w:t>
            </w:r>
          </w:p>
        </w:tc>
        <w:tc>
          <w:tcPr>
            <w:tcW w:w="1860" w:type="dxa"/>
            <w:tcMar>
              <w:top w:w="0" w:type="dxa"/>
              <w:bottom w:w="0" w:type="dxa"/>
            </w:tcMar>
            <w:vAlign w:val="center"/>
          </w:tcPr>
          <w:p w14:paraId="770B2932" w14:textId="77777777" w:rsidR="00422385" w:rsidRDefault="00000000">
            <w:pPr>
              <w:keepNext/>
              <w:keepLines/>
              <w:spacing w:after="0" w:line="240" w:lineRule="auto"/>
              <w:jc w:val="right"/>
            </w:pPr>
            <w:r>
              <w:rPr>
                <w:b/>
                <w:sz w:val="18"/>
              </w:rPr>
              <w:t>0,00</w:t>
            </w:r>
          </w:p>
        </w:tc>
        <w:tc>
          <w:tcPr>
            <w:tcW w:w="1860" w:type="dxa"/>
            <w:tcMar>
              <w:top w:w="0" w:type="dxa"/>
              <w:bottom w:w="0" w:type="dxa"/>
            </w:tcMar>
            <w:vAlign w:val="center"/>
          </w:tcPr>
          <w:p w14:paraId="02385941" w14:textId="77777777" w:rsidR="00422385" w:rsidRDefault="00000000">
            <w:pPr>
              <w:keepNext/>
              <w:keepLines/>
              <w:spacing w:after="0" w:line="240" w:lineRule="auto"/>
              <w:jc w:val="right"/>
            </w:pPr>
            <w:r>
              <w:rPr>
                <w:b/>
                <w:sz w:val="18"/>
              </w:rPr>
              <w:t>444.221,40</w:t>
            </w:r>
          </w:p>
        </w:tc>
        <w:tc>
          <w:tcPr>
            <w:tcW w:w="700" w:type="dxa"/>
            <w:tcMar>
              <w:top w:w="0" w:type="dxa"/>
              <w:bottom w:w="0" w:type="dxa"/>
            </w:tcMar>
            <w:vAlign w:val="center"/>
          </w:tcPr>
          <w:p w14:paraId="46C4D047" w14:textId="77777777" w:rsidR="00422385" w:rsidRDefault="00000000">
            <w:pPr>
              <w:keepNext/>
              <w:keepLines/>
              <w:spacing w:after="0" w:line="240" w:lineRule="auto"/>
              <w:jc w:val="right"/>
            </w:pPr>
            <w:r>
              <w:rPr>
                <w:b/>
                <w:sz w:val="18"/>
              </w:rPr>
              <w:t>-</w:t>
            </w:r>
          </w:p>
        </w:tc>
      </w:tr>
      <w:tr w:rsidR="00422385" w14:paraId="1D24F22B" w14:textId="77777777">
        <w:trPr>
          <w:cantSplit/>
          <w:trHeight w:val="560"/>
        </w:trPr>
        <w:tc>
          <w:tcPr>
            <w:tcW w:w="700" w:type="dxa"/>
            <w:tcMar>
              <w:top w:w="0" w:type="dxa"/>
              <w:bottom w:w="0" w:type="dxa"/>
            </w:tcMar>
            <w:vAlign w:val="center"/>
          </w:tcPr>
          <w:p w14:paraId="00246812" w14:textId="77777777" w:rsidR="00422385" w:rsidRDefault="00422385">
            <w:pPr>
              <w:keepNext/>
              <w:keepLines/>
              <w:spacing w:after="0" w:line="240" w:lineRule="auto"/>
            </w:pPr>
          </w:p>
        </w:tc>
        <w:tc>
          <w:tcPr>
            <w:tcW w:w="3180" w:type="dxa"/>
            <w:tcMar>
              <w:top w:w="0" w:type="dxa"/>
              <w:bottom w:w="0" w:type="dxa"/>
            </w:tcMar>
            <w:vAlign w:val="center"/>
          </w:tcPr>
          <w:p w14:paraId="0FB925ED" w14:textId="77777777" w:rsidR="00422385"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4CF0AF18" w14:textId="77777777" w:rsidR="00422385" w:rsidRDefault="00000000">
            <w:pPr>
              <w:keepNext/>
              <w:keepLines/>
              <w:spacing w:after="0" w:line="240" w:lineRule="auto"/>
            </w:pPr>
            <w:r>
              <w:rPr>
                <w:b/>
                <w:sz w:val="18"/>
              </w:rPr>
              <w:t>X005</w:t>
            </w:r>
          </w:p>
        </w:tc>
        <w:tc>
          <w:tcPr>
            <w:tcW w:w="1860" w:type="dxa"/>
            <w:tcMar>
              <w:top w:w="0" w:type="dxa"/>
              <w:bottom w:w="0" w:type="dxa"/>
            </w:tcMar>
            <w:vAlign w:val="center"/>
          </w:tcPr>
          <w:p w14:paraId="487A0431" w14:textId="77777777" w:rsidR="00422385" w:rsidRDefault="00000000">
            <w:pPr>
              <w:keepNext/>
              <w:keepLines/>
              <w:spacing w:after="0" w:line="240" w:lineRule="auto"/>
              <w:jc w:val="right"/>
            </w:pPr>
            <w:r>
              <w:rPr>
                <w:b/>
                <w:sz w:val="18"/>
              </w:rPr>
              <w:t>0,00</w:t>
            </w:r>
          </w:p>
        </w:tc>
        <w:tc>
          <w:tcPr>
            <w:tcW w:w="1860" w:type="dxa"/>
            <w:tcMar>
              <w:top w:w="0" w:type="dxa"/>
              <w:bottom w:w="0" w:type="dxa"/>
            </w:tcMar>
            <w:vAlign w:val="center"/>
          </w:tcPr>
          <w:p w14:paraId="0BFF9B01" w14:textId="77777777" w:rsidR="00422385" w:rsidRDefault="00000000">
            <w:pPr>
              <w:keepNext/>
              <w:keepLines/>
              <w:spacing w:after="0" w:line="240" w:lineRule="auto"/>
              <w:jc w:val="right"/>
            </w:pPr>
            <w:r>
              <w:rPr>
                <w:b/>
                <w:sz w:val="18"/>
              </w:rPr>
              <w:t>121.531,65</w:t>
            </w:r>
          </w:p>
        </w:tc>
        <w:tc>
          <w:tcPr>
            <w:tcW w:w="700" w:type="dxa"/>
            <w:tcMar>
              <w:top w:w="0" w:type="dxa"/>
              <w:bottom w:w="0" w:type="dxa"/>
            </w:tcMar>
            <w:vAlign w:val="center"/>
          </w:tcPr>
          <w:p w14:paraId="67EA289D" w14:textId="77777777" w:rsidR="00422385" w:rsidRDefault="00000000">
            <w:pPr>
              <w:keepNext/>
              <w:keepLines/>
              <w:spacing w:after="0" w:line="240" w:lineRule="auto"/>
              <w:jc w:val="right"/>
            </w:pPr>
            <w:r>
              <w:rPr>
                <w:b/>
                <w:sz w:val="18"/>
              </w:rPr>
              <w:t>-</w:t>
            </w:r>
          </w:p>
        </w:tc>
      </w:tr>
    </w:tbl>
    <w:p w14:paraId="2D6B1B03" w14:textId="77777777" w:rsidR="00422385" w:rsidRDefault="00422385">
      <w:pPr>
        <w:spacing w:after="0"/>
      </w:pPr>
    </w:p>
    <w:p w14:paraId="476BA11E" w14:textId="77777777" w:rsidR="00422385" w:rsidRDefault="00000000" w:rsidP="00F20266">
      <w:pPr>
        <w:jc w:val="both"/>
      </w:pPr>
      <w:r>
        <w:lastRenderedPageBreak/>
        <w:t>Ukupni prihodi i primici za izvještajno razdoblje ostvareni su u iznosu od 10.045.161,93 EUR odnosno s indeksom 138,9 u odnosu na prethodnu godinu kad su ostvareni u iznosu od 7.232.800,22 EUR, a sastoje se od :</w:t>
      </w:r>
    </w:p>
    <w:p w14:paraId="0710DF55" w14:textId="77777777" w:rsidR="00422385" w:rsidRDefault="00000000" w:rsidP="00F20266">
      <w:pPr>
        <w:jc w:val="both"/>
      </w:pPr>
      <w:r>
        <w:t>-    Prihodi poslovanja (šifra 6)                                                    8.181.423,72 EUR</w:t>
      </w:r>
    </w:p>
    <w:p w14:paraId="2D54803E" w14:textId="77777777" w:rsidR="00422385" w:rsidRDefault="00000000" w:rsidP="00F20266">
      <w:pPr>
        <w:jc w:val="both"/>
      </w:pPr>
      <w:r>
        <w:t>-    Prihodi od prodaje nefinancijske imovine (šifra 7)                1.340.807,29 EUR</w:t>
      </w:r>
    </w:p>
    <w:p w14:paraId="1DC8A57D" w14:textId="77777777" w:rsidR="00422385" w:rsidRDefault="00000000" w:rsidP="00F20266">
      <w:pPr>
        <w:jc w:val="both"/>
      </w:pPr>
      <w:r>
        <w:t>-   Primici od financijske imovine i zaduživanja (8)                        522.930,92 EUR.</w:t>
      </w:r>
    </w:p>
    <w:p w14:paraId="35817385" w14:textId="77777777" w:rsidR="00422385" w:rsidRDefault="00000000" w:rsidP="00F20266">
      <w:pPr>
        <w:jc w:val="both"/>
      </w:pPr>
      <w:r>
        <w:t>Dok, ukupni rashodi i izdaci  (Y345) Općine Fažana za izvještajno razdoblje ostvareni su u iznosu od 9.923.630,28 EUR odnosno s indeksom 124,6 u odnosu na prethodnu godinu kada su bili ostvareni u iznosu od 7.966.711,34 EUR, a sastoji se od :</w:t>
      </w:r>
    </w:p>
    <w:p w14:paraId="42397741" w14:textId="77777777" w:rsidR="00422385" w:rsidRDefault="00000000" w:rsidP="00F20266">
      <w:pPr>
        <w:jc w:val="both"/>
      </w:pPr>
      <w:r>
        <w:t> </w:t>
      </w:r>
    </w:p>
    <w:p w14:paraId="31A0CC76" w14:textId="77777777" w:rsidR="00422385" w:rsidRDefault="00000000" w:rsidP="00F20266">
      <w:pPr>
        <w:jc w:val="both"/>
      </w:pPr>
      <w:r>
        <w:t>-    rashodi poslovanja (3)                                                          5.889.795,06 EUR</w:t>
      </w:r>
    </w:p>
    <w:p w14:paraId="00D0882A" w14:textId="77777777" w:rsidR="00422385" w:rsidRDefault="00000000" w:rsidP="00F20266">
      <w:pPr>
        <w:jc w:val="both"/>
      </w:pPr>
      <w:r>
        <w:t>-    rashodi za nabavu nefinancijske imovine (4)                       3.955.125,70 EUR</w:t>
      </w:r>
    </w:p>
    <w:p w14:paraId="5B0456B3" w14:textId="77777777" w:rsidR="00422385" w:rsidRDefault="00000000" w:rsidP="00F20266">
      <w:pPr>
        <w:jc w:val="both"/>
      </w:pPr>
      <w:r>
        <w:t>-    izdaci za financijsku imovinu i otplate zajmova (5)                  78.709,52 EUR.</w:t>
      </w:r>
    </w:p>
    <w:p w14:paraId="507EE7A5" w14:textId="77777777" w:rsidR="00422385" w:rsidRDefault="00000000" w:rsidP="00F20266">
      <w:pPr>
        <w:jc w:val="both"/>
      </w:pPr>
      <w:r>
        <w:br/>
      </w:r>
    </w:p>
    <w:p w14:paraId="2F898959" w14:textId="77777777" w:rsidR="00422385" w:rsidRDefault="00000000" w:rsidP="00F20266">
      <w:pPr>
        <w:keepNext/>
        <w:spacing w:line="240" w:lineRule="auto"/>
        <w:jc w:val="both"/>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71F989F8" w14:textId="77777777">
        <w:trPr>
          <w:cantSplit/>
        </w:trPr>
        <w:tc>
          <w:tcPr>
            <w:tcW w:w="700" w:type="dxa"/>
            <w:shd w:val="clear" w:color="auto" w:fill="E7F0F9"/>
            <w:tcMar>
              <w:top w:w="0" w:type="dxa"/>
              <w:bottom w:w="0" w:type="dxa"/>
            </w:tcMar>
            <w:vAlign w:val="center"/>
          </w:tcPr>
          <w:p w14:paraId="4A66DE18"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63127D"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EC92218"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52DE701"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2D040DF8"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0F98BF8F" w14:textId="77777777" w:rsidR="00422385" w:rsidRDefault="00000000" w:rsidP="00F20266">
            <w:pPr>
              <w:keepNext/>
              <w:keepLines/>
              <w:spacing w:after="0" w:line="240" w:lineRule="auto"/>
              <w:jc w:val="both"/>
            </w:pPr>
            <w:r>
              <w:rPr>
                <w:b/>
                <w:sz w:val="18"/>
              </w:rPr>
              <w:t>Indeks (%)</w:t>
            </w:r>
          </w:p>
        </w:tc>
      </w:tr>
      <w:tr w:rsidR="00422385" w14:paraId="114DA9A9" w14:textId="77777777">
        <w:trPr>
          <w:cantSplit/>
          <w:trHeight w:val="560"/>
        </w:trPr>
        <w:tc>
          <w:tcPr>
            <w:tcW w:w="700" w:type="dxa"/>
            <w:tcMar>
              <w:top w:w="0" w:type="dxa"/>
              <w:bottom w:w="0" w:type="dxa"/>
            </w:tcMar>
            <w:vAlign w:val="center"/>
          </w:tcPr>
          <w:p w14:paraId="0D2ED1B4" w14:textId="77777777" w:rsidR="00422385" w:rsidRDefault="00000000" w:rsidP="00F20266">
            <w:pPr>
              <w:keepNext/>
              <w:keepLines/>
              <w:spacing w:after="0" w:line="240" w:lineRule="auto"/>
              <w:jc w:val="both"/>
            </w:pPr>
            <w:r>
              <w:rPr>
                <w:sz w:val="18"/>
              </w:rPr>
              <w:t>6</w:t>
            </w:r>
          </w:p>
        </w:tc>
        <w:tc>
          <w:tcPr>
            <w:tcW w:w="3180" w:type="dxa"/>
            <w:tcMar>
              <w:top w:w="0" w:type="dxa"/>
              <w:bottom w:w="0" w:type="dxa"/>
            </w:tcMar>
            <w:vAlign w:val="center"/>
          </w:tcPr>
          <w:p w14:paraId="582F9B5D" w14:textId="77777777" w:rsidR="00422385" w:rsidRDefault="00000000" w:rsidP="00F20266">
            <w:pPr>
              <w:keepNext/>
              <w:keepLines/>
              <w:spacing w:after="0" w:line="240" w:lineRule="auto"/>
              <w:jc w:val="both"/>
            </w:pPr>
            <w:r>
              <w:rPr>
                <w:sz w:val="18"/>
              </w:rPr>
              <w:t>PRIHODI POSLOVANJA (šifre 61+62+63+64+65+66+67+68)</w:t>
            </w:r>
          </w:p>
        </w:tc>
        <w:tc>
          <w:tcPr>
            <w:tcW w:w="700" w:type="dxa"/>
            <w:tcMar>
              <w:top w:w="0" w:type="dxa"/>
              <w:bottom w:w="0" w:type="dxa"/>
            </w:tcMar>
            <w:vAlign w:val="center"/>
          </w:tcPr>
          <w:p w14:paraId="356828BC" w14:textId="77777777" w:rsidR="00422385" w:rsidRDefault="00000000" w:rsidP="00F20266">
            <w:pPr>
              <w:keepNext/>
              <w:keepLines/>
              <w:spacing w:after="0" w:line="240" w:lineRule="auto"/>
              <w:jc w:val="both"/>
            </w:pPr>
            <w:r>
              <w:rPr>
                <w:sz w:val="18"/>
              </w:rPr>
              <w:t>6</w:t>
            </w:r>
          </w:p>
        </w:tc>
        <w:tc>
          <w:tcPr>
            <w:tcW w:w="1860" w:type="dxa"/>
            <w:tcMar>
              <w:top w:w="0" w:type="dxa"/>
              <w:bottom w:w="0" w:type="dxa"/>
            </w:tcMar>
            <w:vAlign w:val="center"/>
          </w:tcPr>
          <w:p w14:paraId="77EF87FD" w14:textId="77777777" w:rsidR="00422385" w:rsidRDefault="00000000" w:rsidP="00F20266">
            <w:pPr>
              <w:keepNext/>
              <w:keepLines/>
              <w:spacing w:after="0" w:line="240" w:lineRule="auto"/>
              <w:jc w:val="both"/>
            </w:pPr>
            <w:r>
              <w:rPr>
                <w:sz w:val="18"/>
              </w:rPr>
              <w:t>7.229.062,32</w:t>
            </w:r>
          </w:p>
        </w:tc>
        <w:tc>
          <w:tcPr>
            <w:tcW w:w="1860" w:type="dxa"/>
            <w:tcMar>
              <w:top w:w="0" w:type="dxa"/>
              <w:bottom w:w="0" w:type="dxa"/>
            </w:tcMar>
            <w:vAlign w:val="center"/>
          </w:tcPr>
          <w:p w14:paraId="3B40F0FE" w14:textId="77777777" w:rsidR="00422385" w:rsidRDefault="00000000" w:rsidP="00F20266">
            <w:pPr>
              <w:keepNext/>
              <w:keepLines/>
              <w:spacing w:after="0" w:line="240" w:lineRule="auto"/>
              <w:jc w:val="both"/>
            </w:pPr>
            <w:r>
              <w:rPr>
                <w:sz w:val="18"/>
              </w:rPr>
              <w:t>8.181.423,72</w:t>
            </w:r>
          </w:p>
        </w:tc>
        <w:tc>
          <w:tcPr>
            <w:tcW w:w="700" w:type="dxa"/>
            <w:tcMar>
              <w:top w:w="0" w:type="dxa"/>
              <w:bottom w:w="0" w:type="dxa"/>
            </w:tcMar>
            <w:vAlign w:val="center"/>
          </w:tcPr>
          <w:p w14:paraId="456A1252" w14:textId="77777777" w:rsidR="00422385" w:rsidRDefault="00000000" w:rsidP="00F20266">
            <w:pPr>
              <w:keepNext/>
              <w:keepLines/>
              <w:spacing w:after="0" w:line="240" w:lineRule="auto"/>
              <w:jc w:val="both"/>
            </w:pPr>
            <w:r>
              <w:rPr>
                <w:sz w:val="18"/>
              </w:rPr>
              <w:t>113,2</w:t>
            </w:r>
          </w:p>
        </w:tc>
      </w:tr>
    </w:tbl>
    <w:p w14:paraId="6B727203" w14:textId="77777777" w:rsidR="00422385" w:rsidRDefault="00422385" w:rsidP="00F20266">
      <w:pPr>
        <w:spacing w:after="0"/>
        <w:jc w:val="both"/>
      </w:pPr>
    </w:p>
    <w:p w14:paraId="208CD115" w14:textId="77777777" w:rsidR="00422385" w:rsidRDefault="00000000" w:rsidP="00F20266">
      <w:pPr>
        <w:jc w:val="both"/>
      </w:pPr>
      <w:r>
        <w:t>Prihodi poslovanja (6) Općine Fažana za izvještajno razdoblje realizirani su u iznosu od  8.181.423,72 EUR sa indeksom od 113,2 u odnosu na prethodnu godinu kada su bili ostvareni u iznosu od 7.229.062,32 EUR. </w:t>
      </w:r>
    </w:p>
    <w:p w14:paraId="553DCCFF" w14:textId="77777777" w:rsidR="00422385" w:rsidRDefault="00000000" w:rsidP="00F20266">
      <w:pPr>
        <w:jc w:val="both"/>
      </w:pPr>
      <w:r>
        <w:t> </w:t>
      </w:r>
    </w:p>
    <w:p w14:paraId="3EEE3F95" w14:textId="77777777" w:rsidR="00422385" w:rsidRDefault="00000000" w:rsidP="00F20266">
      <w:pPr>
        <w:jc w:val="both"/>
      </w:pPr>
      <w:r>
        <w:t>Ukupno ostvareni prihodi poslovanja (6) sastoje se od slijedećih prihoda:</w:t>
      </w:r>
    </w:p>
    <w:p w14:paraId="550A1503" w14:textId="77777777" w:rsidR="00422385" w:rsidRDefault="00000000" w:rsidP="00F20266">
      <w:pPr>
        <w:jc w:val="both"/>
      </w:pPr>
      <w:r>
        <w:t>- prihodi od poreza (61)                                                                    4.857.468,16 EUR</w:t>
      </w:r>
    </w:p>
    <w:p w14:paraId="7ED504C7" w14:textId="77777777" w:rsidR="00422385" w:rsidRDefault="00000000" w:rsidP="00F20266">
      <w:pPr>
        <w:jc w:val="both"/>
      </w:pPr>
      <w:r>
        <w:t xml:space="preserve">- pomoći iz </w:t>
      </w:r>
      <w:proofErr w:type="spellStart"/>
      <w:r>
        <w:t>inoz</w:t>
      </w:r>
      <w:proofErr w:type="spellEnd"/>
      <w:r>
        <w:t>. i subjekata unutar općeg proračuna(63)                    50.866,73 EUR</w:t>
      </w:r>
    </w:p>
    <w:p w14:paraId="4D254DB0" w14:textId="77777777" w:rsidR="00422385" w:rsidRDefault="00000000" w:rsidP="00F20266">
      <w:pPr>
        <w:jc w:val="both"/>
      </w:pPr>
      <w:r>
        <w:t> - prihodi od imovine (64)                                                                    773.057,29 EUR       </w:t>
      </w:r>
    </w:p>
    <w:p w14:paraId="2B223B78" w14:textId="77777777" w:rsidR="00422385" w:rsidRDefault="00000000" w:rsidP="00F20266">
      <w:pPr>
        <w:jc w:val="both"/>
      </w:pPr>
      <w:r>
        <w:t>- prihodi po posebnim propisima (65)                                               2.493.016,11 EUR  </w:t>
      </w:r>
    </w:p>
    <w:p w14:paraId="5B503EF6" w14:textId="77777777" w:rsidR="00422385" w:rsidRDefault="00000000" w:rsidP="00F20266">
      <w:pPr>
        <w:jc w:val="both"/>
      </w:pPr>
      <w:r>
        <w:t>- prihodi od prodaje proizvoda i robe, te pruženih usluga (66)                      0,00 EUR</w:t>
      </w:r>
    </w:p>
    <w:p w14:paraId="308C5170" w14:textId="77777777" w:rsidR="00422385" w:rsidRDefault="00000000" w:rsidP="00F20266">
      <w:pPr>
        <w:jc w:val="both"/>
      </w:pPr>
      <w:r>
        <w:t>- kazne, upravne mjere i ostali prihodi (68)                                               7.015,43 EUR.</w:t>
      </w:r>
    </w:p>
    <w:p w14:paraId="121D0903" w14:textId="77777777" w:rsidR="00422385" w:rsidRDefault="00422385" w:rsidP="00F20266">
      <w:pPr>
        <w:jc w:val="both"/>
      </w:pPr>
    </w:p>
    <w:p w14:paraId="7EEF6AF6" w14:textId="77777777" w:rsidR="00422385" w:rsidRDefault="00000000">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5F94DDBA" w14:textId="77777777">
        <w:trPr>
          <w:cantSplit/>
        </w:trPr>
        <w:tc>
          <w:tcPr>
            <w:tcW w:w="700" w:type="dxa"/>
            <w:shd w:val="clear" w:color="auto" w:fill="E7F0F9"/>
            <w:tcMar>
              <w:top w:w="0" w:type="dxa"/>
              <w:bottom w:w="0" w:type="dxa"/>
            </w:tcMar>
            <w:vAlign w:val="center"/>
          </w:tcPr>
          <w:p w14:paraId="41E76C62" w14:textId="77777777" w:rsidR="0042238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35BFBE" w14:textId="77777777" w:rsidR="0042238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09DB8D" w14:textId="77777777" w:rsidR="0042238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388FE9" w14:textId="77777777" w:rsidR="0042238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F58F65" w14:textId="77777777" w:rsidR="0042238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8B06E9" w14:textId="77777777" w:rsidR="00422385" w:rsidRDefault="00000000">
            <w:pPr>
              <w:keepNext/>
              <w:keepLines/>
              <w:spacing w:after="0" w:line="240" w:lineRule="auto"/>
              <w:jc w:val="center"/>
            </w:pPr>
            <w:r>
              <w:rPr>
                <w:b/>
                <w:sz w:val="18"/>
              </w:rPr>
              <w:t>Indeks (%)</w:t>
            </w:r>
          </w:p>
        </w:tc>
      </w:tr>
      <w:tr w:rsidR="00422385" w14:paraId="0A0639E2" w14:textId="77777777">
        <w:trPr>
          <w:cantSplit/>
          <w:trHeight w:val="560"/>
        </w:trPr>
        <w:tc>
          <w:tcPr>
            <w:tcW w:w="700" w:type="dxa"/>
            <w:tcMar>
              <w:top w:w="0" w:type="dxa"/>
              <w:bottom w:w="0" w:type="dxa"/>
            </w:tcMar>
            <w:vAlign w:val="center"/>
          </w:tcPr>
          <w:p w14:paraId="6D0B148A" w14:textId="77777777" w:rsidR="00422385" w:rsidRDefault="00000000">
            <w:pPr>
              <w:keepNext/>
              <w:keepLines/>
              <w:spacing w:after="0" w:line="240" w:lineRule="auto"/>
            </w:pPr>
            <w:r>
              <w:rPr>
                <w:sz w:val="18"/>
              </w:rPr>
              <w:t>6113</w:t>
            </w:r>
          </w:p>
        </w:tc>
        <w:tc>
          <w:tcPr>
            <w:tcW w:w="3180" w:type="dxa"/>
            <w:tcMar>
              <w:top w:w="0" w:type="dxa"/>
              <w:bottom w:w="0" w:type="dxa"/>
            </w:tcMar>
            <w:vAlign w:val="center"/>
          </w:tcPr>
          <w:p w14:paraId="5D1FE885" w14:textId="77777777" w:rsidR="00422385" w:rsidRDefault="00000000">
            <w:pPr>
              <w:keepNext/>
              <w:keepLines/>
              <w:spacing w:after="0" w:line="240" w:lineRule="auto"/>
            </w:pPr>
            <w:r>
              <w:rPr>
                <w:sz w:val="18"/>
              </w:rPr>
              <w:t>Porez na dohodak od imovine i imovinskih prava</w:t>
            </w:r>
          </w:p>
        </w:tc>
        <w:tc>
          <w:tcPr>
            <w:tcW w:w="700" w:type="dxa"/>
            <w:tcMar>
              <w:top w:w="0" w:type="dxa"/>
              <w:bottom w:w="0" w:type="dxa"/>
            </w:tcMar>
            <w:vAlign w:val="center"/>
          </w:tcPr>
          <w:p w14:paraId="2C280FDB" w14:textId="77777777" w:rsidR="00422385" w:rsidRDefault="00000000">
            <w:pPr>
              <w:keepNext/>
              <w:keepLines/>
              <w:spacing w:after="0" w:line="240" w:lineRule="auto"/>
            </w:pPr>
            <w:r>
              <w:rPr>
                <w:sz w:val="18"/>
              </w:rPr>
              <w:t>6113</w:t>
            </w:r>
          </w:p>
        </w:tc>
        <w:tc>
          <w:tcPr>
            <w:tcW w:w="1860" w:type="dxa"/>
            <w:tcMar>
              <w:top w:w="0" w:type="dxa"/>
              <w:bottom w:w="0" w:type="dxa"/>
            </w:tcMar>
            <w:vAlign w:val="center"/>
          </w:tcPr>
          <w:p w14:paraId="17F520B9" w14:textId="77777777" w:rsidR="00422385" w:rsidRDefault="00000000">
            <w:pPr>
              <w:keepNext/>
              <w:keepLines/>
              <w:spacing w:after="0" w:line="240" w:lineRule="auto"/>
              <w:jc w:val="right"/>
            </w:pPr>
            <w:r>
              <w:rPr>
                <w:sz w:val="18"/>
              </w:rPr>
              <w:t>204.523,41</w:t>
            </w:r>
          </w:p>
        </w:tc>
        <w:tc>
          <w:tcPr>
            <w:tcW w:w="1860" w:type="dxa"/>
            <w:tcMar>
              <w:top w:w="0" w:type="dxa"/>
              <w:bottom w:w="0" w:type="dxa"/>
            </w:tcMar>
            <w:vAlign w:val="center"/>
          </w:tcPr>
          <w:p w14:paraId="31F51CB8" w14:textId="77777777" w:rsidR="00422385" w:rsidRDefault="00000000">
            <w:pPr>
              <w:keepNext/>
              <w:keepLines/>
              <w:spacing w:after="0" w:line="240" w:lineRule="auto"/>
              <w:jc w:val="right"/>
            </w:pPr>
            <w:r>
              <w:rPr>
                <w:sz w:val="18"/>
              </w:rPr>
              <w:t>400.943,69</w:t>
            </w:r>
          </w:p>
        </w:tc>
        <w:tc>
          <w:tcPr>
            <w:tcW w:w="700" w:type="dxa"/>
            <w:tcMar>
              <w:top w:w="0" w:type="dxa"/>
              <w:bottom w:w="0" w:type="dxa"/>
            </w:tcMar>
            <w:vAlign w:val="center"/>
          </w:tcPr>
          <w:p w14:paraId="235B8B93" w14:textId="77777777" w:rsidR="00422385" w:rsidRDefault="00000000">
            <w:pPr>
              <w:keepNext/>
              <w:keepLines/>
              <w:spacing w:after="0" w:line="240" w:lineRule="auto"/>
              <w:jc w:val="right"/>
            </w:pPr>
            <w:r>
              <w:rPr>
                <w:sz w:val="18"/>
              </w:rPr>
              <w:t>196,0</w:t>
            </w:r>
          </w:p>
        </w:tc>
      </w:tr>
    </w:tbl>
    <w:p w14:paraId="2BE73E69" w14:textId="77777777" w:rsidR="00422385" w:rsidRDefault="00422385">
      <w:pPr>
        <w:spacing w:after="0"/>
      </w:pPr>
    </w:p>
    <w:p w14:paraId="61521B88" w14:textId="77777777" w:rsidR="00422385" w:rsidRDefault="00000000" w:rsidP="00F20266">
      <w:pPr>
        <w:jc w:val="both"/>
      </w:pPr>
      <w:r>
        <w:t>Značajno odstupanje u povećanju prihoda od poreza ostvareno je kroz porez na dohodak od imovine i imovinskih prava sa indeksom od 196 u odnosu na prethodnu godinu za isto razdoblje ( zbog povećanja dohotka od primitaka po osnovi najamnine, zakupnine, iznajmljivanja stanova, soba i postelja putnicima i turistima i organiziranja kampova, primitaka od vremenski ograničenog ustupa autorskih prava, prava industrijskog vlasništva i drugih imovinskih prava u skladu s posebnim propisima, primitaka od otuđenja nekretnina i imovinskih prava i izdataka koji su poreznom obvezniku u poreznom razdoblju nastali u svezi s tim primicima).</w:t>
      </w:r>
    </w:p>
    <w:p w14:paraId="25F724FF" w14:textId="77777777" w:rsidR="00422385" w:rsidRDefault="00000000">
      <w:r>
        <w:t> </w:t>
      </w:r>
    </w:p>
    <w:p w14:paraId="15531664" w14:textId="77777777" w:rsidR="00422385" w:rsidRDefault="00422385"/>
    <w:p w14:paraId="2F8EC64F" w14:textId="77777777" w:rsidR="00422385"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0E4CE32A" w14:textId="77777777">
        <w:trPr>
          <w:cantSplit/>
        </w:trPr>
        <w:tc>
          <w:tcPr>
            <w:tcW w:w="700" w:type="dxa"/>
            <w:shd w:val="clear" w:color="auto" w:fill="E7F0F9"/>
            <w:tcMar>
              <w:top w:w="0" w:type="dxa"/>
              <w:bottom w:w="0" w:type="dxa"/>
            </w:tcMar>
            <w:vAlign w:val="center"/>
          </w:tcPr>
          <w:p w14:paraId="135A7F39" w14:textId="77777777" w:rsidR="0042238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CF5BDE" w14:textId="77777777" w:rsidR="0042238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0402ED" w14:textId="77777777" w:rsidR="0042238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F12F8A" w14:textId="77777777" w:rsidR="0042238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B99B20" w14:textId="77777777" w:rsidR="0042238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80D3DE" w14:textId="77777777" w:rsidR="00422385" w:rsidRDefault="00000000">
            <w:pPr>
              <w:keepNext/>
              <w:keepLines/>
              <w:spacing w:after="0" w:line="240" w:lineRule="auto"/>
              <w:jc w:val="center"/>
            </w:pPr>
            <w:r>
              <w:rPr>
                <w:b/>
                <w:sz w:val="18"/>
              </w:rPr>
              <w:t>Indeks (%)</w:t>
            </w:r>
          </w:p>
        </w:tc>
      </w:tr>
      <w:tr w:rsidR="00422385" w14:paraId="16ED7149" w14:textId="77777777">
        <w:trPr>
          <w:cantSplit/>
          <w:trHeight w:val="560"/>
        </w:trPr>
        <w:tc>
          <w:tcPr>
            <w:tcW w:w="700" w:type="dxa"/>
            <w:tcMar>
              <w:top w:w="0" w:type="dxa"/>
              <w:bottom w:w="0" w:type="dxa"/>
            </w:tcMar>
            <w:vAlign w:val="center"/>
          </w:tcPr>
          <w:p w14:paraId="36B36ADF" w14:textId="77777777" w:rsidR="00422385" w:rsidRDefault="00000000">
            <w:pPr>
              <w:keepNext/>
              <w:keepLines/>
              <w:spacing w:after="0" w:line="240" w:lineRule="auto"/>
            </w:pPr>
            <w:r>
              <w:rPr>
                <w:sz w:val="18"/>
              </w:rPr>
              <w:t>6131</w:t>
            </w:r>
          </w:p>
        </w:tc>
        <w:tc>
          <w:tcPr>
            <w:tcW w:w="3180" w:type="dxa"/>
            <w:tcMar>
              <w:top w:w="0" w:type="dxa"/>
              <w:bottom w:w="0" w:type="dxa"/>
            </w:tcMar>
            <w:vAlign w:val="center"/>
          </w:tcPr>
          <w:p w14:paraId="1C17B1B9" w14:textId="77777777" w:rsidR="00422385" w:rsidRDefault="00000000">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5409CF56" w14:textId="77777777" w:rsidR="00422385" w:rsidRDefault="00000000">
            <w:pPr>
              <w:keepNext/>
              <w:keepLines/>
              <w:spacing w:after="0" w:line="240" w:lineRule="auto"/>
            </w:pPr>
            <w:r>
              <w:rPr>
                <w:sz w:val="18"/>
              </w:rPr>
              <w:t>6131</w:t>
            </w:r>
          </w:p>
        </w:tc>
        <w:tc>
          <w:tcPr>
            <w:tcW w:w="1860" w:type="dxa"/>
            <w:tcMar>
              <w:top w:w="0" w:type="dxa"/>
              <w:bottom w:w="0" w:type="dxa"/>
            </w:tcMar>
            <w:vAlign w:val="center"/>
          </w:tcPr>
          <w:p w14:paraId="1763FAE0" w14:textId="77777777" w:rsidR="00422385" w:rsidRDefault="00000000">
            <w:pPr>
              <w:keepNext/>
              <w:keepLines/>
              <w:spacing w:after="0" w:line="240" w:lineRule="auto"/>
              <w:jc w:val="right"/>
            </w:pPr>
            <w:r>
              <w:rPr>
                <w:sz w:val="18"/>
              </w:rPr>
              <w:t>353.315,40</w:t>
            </w:r>
          </w:p>
        </w:tc>
        <w:tc>
          <w:tcPr>
            <w:tcW w:w="1860" w:type="dxa"/>
            <w:tcMar>
              <w:top w:w="0" w:type="dxa"/>
              <w:bottom w:w="0" w:type="dxa"/>
            </w:tcMar>
            <w:vAlign w:val="center"/>
          </w:tcPr>
          <w:p w14:paraId="719C14AD" w14:textId="77777777" w:rsidR="00422385" w:rsidRDefault="00000000">
            <w:pPr>
              <w:keepNext/>
              <w:keepLines/>
              <w:spacing w:after="0" w:line="240" w:lineRule="auto"/>
              <w:jc w:val="right"/>
            </w:pPr>
            <w:r>
              <w:rPr>
                <w:sz w:val="18"/>
              </w:rPr>
              <w:t>507.862,78</w:t>
            </w:r>
          </w:p>
        </w:tc>
        <w:tc>
          <w:tcPr>
            <w:tcW w:w="700" w:type="dxa"/>
            <w:tcMar>
              <w:top w:w="0" w:type="dxa"/>
              <w:bottom w:w="0" w:type="dxa"/>
            </w:tcMar>
            <w:vAlign w:val="center"/>
          </w:tcPr>
          <w:p w14:paraId="0BD21E9F" w14:textId="77777777" w:rsidR="00422385" w:rsidRDefault="00000000">
            <w:pPr>
              <w:keepNext/>
              <w:keepLines/>
              <w:spacing w:after="0" w:line="240" w:lineRule="auto"/>
              <w:jc w:val="right"/>
            </w:pPr>
            <w:r>
              <w:rPr>
                <w:sz w:val="18"/>
              </w:rPr>
              <w:t>143,7</w:t>
            </w:r>
          </w:p>
        </w:tc>
      </w:tr>
    </w:tbl>
    <w:p w14:paraId="2E1FC7DA" w14:textId="77777777" w:rsidR="00422385" w:rsidRDefault="00422385">
      <w:pPr>
        <w:spacing w:after="0"/>
      </w:pPr>
    </w:p>
    <w:p w14:paraId="1442B0DE" w14:textId="20F16D5A" w:rsidR="00422385" w:rsidRDefault="00000000" w:rsidP="00F20266">
      <w:pPr>
        <w:jc w:val="both"/>
      </w:pPr>
      <w:r>
        <w:t>Stalni porezi na nepokretnu imovinu (6131) ostvareni su u izvještajnom razdoblju u iznosu od 507.862,78 EUR, što čini povećanje od 43,7% u odnosu na prethodnu godinu kad su ostvareni u iznosu od 353.315,40 EUR. Navedeno povećanje uslijedilo je zbog povećanja iznosa poreza na kuće za odmor odnosno na porez na nekretnine sa 5,00 eura na 8,00 eura po kvadratnom metru</w:t>
      </w:r>
      <w:r w:rsidR="00F20266">
        <w:t>-</w:t>
      </w:r>
      <w:r>
        <w:t>nekretnine.</w:t>
      </w:r>
      <w:r>
        <w:br/>
        <w:t> </w:t>
      </w:r>
    </w:p>
    <w:p w14:paraId="5D87F0BD" w14:textId="77777777" w:rsidR="00422385" w:rsidRDefault="00422385" w:rsidP="00F20266">
      <w:pPr>
        <w:jc w:val="both"/>
      </w:pPr>
    </w:p>
    <w:p w14:paraId="432B766D" w14:textId="77777777" w:rsidR="00422385" w:rsidRDefault="00000000" w:rsidP="00F20266">
      <w:pPr>
        <w:keepNext/>
        <w:spacing w:line="240" w:lineRule="auto"/>
        <w:jc w:val="both"/>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77DAD2AA" w14:textId="77777777">
        <w:trPr>
          <w:cantSplit/>
        </w:trPr>
        <w:tc>
          <w:tcPr>
            <w:tcW w:w="700" w:type="dxa"/>
            <w:shd w:val="clear" w:color="auto" w:fill="E7F0F9"/>
            <w:tcMar>
              <w:top w:w="0" w:type="dxa"/>
              <w:bottom w:w="0" w:type="dxa"/>
            </w:tcMar>
            <w:vAlign w:val="center"/>
          </w:tcPr>
          <w:p w14:paraId="756AFF6C"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D5CB8C"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8EE7055"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E5848BE"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BEB6F07"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20F1664" w14:textId="77777777" w:rsidR="00422385" w:rsidRDefault="00000000" w:rsidP="00F20266">
            <w:pPr>
              <w:keepNext/>
              <w:keepLines/>
              <w:spacing w:after="0" w:line="240" w:lineRule="auto"/>
              <w:jc w:val="both"/>
            </w:pPr>
            <w:r>
              <w:rPr>
                <w:b/>
                <w:sz w:val="18"/>
              </w:rPr>
              <w:t>Indeks (%)</w:t>
            </w:r>
          </w:p>
        </w:tc>
      </w:tr>
      <w:tr w:rsidR="00422385" w14:paraId="626FEBA8" w14:textId="77777777">
        <w:trPr>
          <w:cantSplit/>
          <w:trHeight w:val="560"/>
        </w:trPr>
        <w:tc>
          <w:tcPr>
            <w:tcW w:w="700" w:type="dxa"/>
            <w:tcMar>
              <w:top w:w="0" w:type="dxa"/>
              <w:bottom w:w="0" w:type="dxa"/>
            </w:tcMar>
            <w:vAlign w:val="center"/>
          </w:tcPr>
          <w:p w14:paraId="20D0C9E2" w14:textId="77777777" w:rsidR="00422385" w:rsidRDefault="00000000" w:rsidP="00F20266">
            <w:pPr>
              <w:keepNext/>
              <w:keepLines/>
              <w:spacing w:after="0" w:line="240" w:lineRule="auto"/>
              <w:jc w:val="both"/>
            </w:pPr>
            <w:r>
              <w:rPr>
                <w:sz w:val="18"/>
              </w:rPr>
              <w:t>6331</w:t>
            </w:r>
          </w:p>
        </w:tc>
        <w:tc>
          <w:tcPr>
            <w:tcW w:w="3180" w:type="dxa"/>
            <w:tcMar>
              <w:top w:w="0" w:type="dxa"/>
              <w:bottom w:w="0" w:type="dxa"/>
            </w:tcMar>
            <w:vAlign w:val="center"/>
          </w:tcPr>
          <w:p w14:paraId="04DD9BFA" w14:textId="77777777" w:rsidR="00422385" w:rsidRDefault="00000000" w:rsidP="00F20266">
            <w:pPr>
              <w:keepNext/>
              <w:keepLines/>
              <w:spacing w:after="0" w:line="240" w:lineRule="auto"/>
              <w:jc w:val="both"/>
            </w:pPr>
            <w:r>
              <w:rPr>
                <w:sz w:val="18"/>
              </w:rPr>
              <w:t>Tekuće pomoći proračunu i izvanproračunskim korisnicima iz drugih proračuna</w:t>
            </w:r>
          </w:p>
        </w:tc>
        <w:tc>
          <w:tcPr>
            <w:tcW w:w="700" w:type="dxa"/>
            <w:tcMar>
              <w:top w:w="0" w:type="dxa"/>
              <w:bottom w:w="0" w:type="dxa"/>
            </w:tcMar>
            <w:vAlign w:val="center"/>
          </w:tcPr>
          <w:p w14:paraId="44B57420" w14:textId="77777777" w:rsidR="00422385" w:rsidRDefault="00000000" w:rsidP="00F20266">
            <w:pPr>
              <w:keepNext/>
              <w:keepLines/>
              <w:spacing w:after="0" w:line="240" w:lineRule="auto"/>
              <w:jc w:val="both"/>
            </w:pPr>
            <w:r>
              <w:rPr>
                <w:sz w:val="18"/>
              </w:rPr>
              <w:t>6331</w:t>
            </w:r>
          </w:p>
        </w:tc>
        <w:tc>
          <w:tcPr>
            <w:tcW w:w="1860" w:type="dxa"/>
            <w:tcMar>
              <w:top w:w="0" w:type="dxa"/>
              <w:bottom w:w="0" w:type="dxa"/>
            </w:tcMar>
            <w:vAlign w:val="center"/>
          </w:tcPr>
          <w:p w14:paraId="0034D335" w14:textId="77777777" w:rsidR="00422385" w:rsidRDefault="00000000" w:rsidP="00F20266">
            <w:pPr>
              <w:keepNext/>
              <w:keepLines/>
              <w:spacing w:after="0" w:line="240" w:lineRule="auto"/>
              <w:jc w:val="both"/>
            </w:pPr>
            <w:r>
              <w:rPr>
                <w:sz w:val="18"/>
              </w:rPr>
              <w:t>31.575,00</w:t>
            </w:r>
          </w:p>
        </w:tc>
        <w:tc>
          <w:tcPr>
            <w:tcW w:w="1860" w:type="dxa"/>
            <w:tcMar>
              <w:top w:w="0" w:type="dxa"/>
              <w:bottom w:w="0" w:type="dxa"/>
            </w:tcMar>
            <w:vAlign w:val="center"/>
          </w:tcPr>
          <w:p w14:paraId="05975B18" w14:textId="77777777" w:rsidR="00422385" w:rsidRDefault="00000000" w:rsidP="00F20266">
            <w:pPr>
              <w:keepNext/>
              <w:keepLines/>
              <w:spacing w:after="0" w:line="240" w:lineRule="auto"/>
              <w:jc w:val="both"/>
            </w:pPr>
            <w:r>
              <w:rPr>
                <w:sz w:val="18"/>
              </w:rPr>
              <w:t>50.866,73</w:t>
            </w:r>
          </w:p>
        </w:tc>
        <w:tc>
          <w:tcPr>
            <w:tcW w:w="700" w:type="dxa"/>
            <w:tcMar>
              <w:top w:w="0" w:type="dxa"/>
              <w:bottom w:w="0" w:type="dxa"/>
            </w:tcMar>
            <w:vAlign w:val="center"/>
          </w:tcPr>
          <w:p w14:paraId="1A8E5C19" w14:textId="77777777" w:rsidR="00422385" w:rsidRDefault="00000000" w:rsidP="00F20266">
            <w:pPr>
              <w:keepNext/>
              <w:keepLines/>
              <w:spacing w:after="0" w:line="240" w:lineRule="auto"/>
              <w:jc w:val="both"/>
            </w:pPr>
            <w:r>
              <w:rPr>
                <w:sz w:val="18"/>
              </w:rPr>
              <w:t>161,1</w:t>
            </w:r>
          </w:p>
        </w:tc>
      </w:tr>
    </w:tbl>
    <w:p w14:paraId="7AB06501" w14:textId="77777777" w:rsidR="00422385" w:rsidRDefault="00422385" w:rsidP="00F20266">
      <w:pPr>
        <w:spacing w:after="0"/>
        <w:jc w:val="both"/>
      </w:pPr>
    </w:p>
    <w:p w14:paraId="5C1FDF22" w14:textId="77777777" w:rsidR="00422385" w:rsidRDefault="00000000" w:rsidP="00F20266">
      <w:r>
        <w:t>Tekuće pomoći proračunu i izvanproračunskim korisnicima iz drugih proračuna povećane su za 61,1% u odnosu na prethodnu godinu za isto razdoblje uslijed isplata sredstava za fiskalnu održivost vrtića od strane Ministarstva obrazovanja i ostvarenih većih prihoda po posebnim ugovorima (Hrvatske vode).</w:t>
      </w:r>
      <w:r>
        <w:br/>
        <w:t> </w:t>
      </w:r>
    </w:p>
    <w:p w14:paraId="4DBFFA49" w14:textId="77777777" w:rsidR="00422385" w:rsidRDefault="00422385" w:rsidP="00F20266">
      <w:pPr>
        <w:jc w:val="both"/>
      </w:pPr>
    </w:p>
    <w:p w14:paraId="58F1A1AD" w14:textId="77777777" w:rsidR="00422385" w:rsidRDefault="00000000" w:rsidP="00F20266">
      <w:pPr>
        <w:keepNext/>
        <w:spacing w:line="240" w:lineRule="auto"/>
        <w:jc w:val="both"/>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4CE82E46" w14:textId="77777777">
        <w:trPr>
          <w:cantSplit/>
        </w:trPr>
        <w:tc>
          <w:tcPr>
            <w:tcW w:w="700" w:type="dxa"/>
            <w:shd w:val="clear" w:color="auto" w:fill="E7F0F9"/>
            <w:tcMar>
              <w:top w:w="0" w:type="dxa"/>
              <w:bottom w:w="0" w:type="dxa"/>
            </w:tcMar>
            <w:vAlign w:val="center"/>
          </w:tcPr>
          <w:p w14:paraId="48D45DE9"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239B59"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F0B67CA"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399B502"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AC1D4AF"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590917F0" w14:textId="77777777" w:rsidR="00422385" w:rsidRDefault="00000000" w:rsidP="00F20266">
            <w:pPr>
              <w:keepNext/>
              <w:keepLines/>
              <w:spacing w:after="0" w:line="240" w:lineRule="auto"/>
              <w:jc w:val="both"/>
            </w:pPr>
            <w:r>
              <w:rPr>
                <w:b/>
                <w:sz w:val="18"/>
              </w:rPr>
              <w:t>Indeks (%)</w:t>
            </w:r>
          </w:p>
        </w:tc>
      </w:tr>
      <w:tr w:rsidR="00422385" w14:paraId="37A87330" w14:textId="77777777">
        <w:trPr>
          <w:cantSplit/>
          <w:trHeight w:val="560"/>
        </w:trPr>
        <w:tc>
          <w:tcPr>
            <w:tcW w:w="700" w:type="dxa"/>
            <w:tcMar>
              <w:top w:w="0" w:type="dxa"/>
              <w:bottom w:w="0" w:type="dxa"/>
            </w:tcMar>
            <w:vAlign w:val="center"/>
          </w:tcPr>
          <w:p w14:paraId="02441657" w14:textId="77777777" w:rsidR="00422385" w:rsidRDefault="00000000" w:rsidP="00F20266">
            <w:pPr>
              <w:keepNext/>
              <w:keepLines/>
              <w:spacing w:after="0" w:line="240" w:lineRule="auto"/>
              <w:jc w:val="both"/>
            </w:pPr>
            <w:r>
              <w:rPr>
                <w:sz w:val="18"/>
              </w:rPr>
              <w:t>634</w:t>
            </w:r>
          </w:p>
        </w:tc>
        <w:tc>
          <w:tcPr>
            <w:tcW w:w="3180" w:type="dxa"/>
            <w:tcMar>
              <w:top w:w="0" w:type="dxa"/>
              <w:bottom w:w="0" w:type="dxa"/>
            </w:tcMar>
            <w:vAlign w:val="center"/>
          </w:tcPr>
          <w:p w14:paraId="0919B218" w14:textId="77777777" w:rsidR="00422385" w:rsidRDefault="00000000" w:rsidP="00F20266">
            <w:pPr>
              <w:keepNext/>
              <w:keepLines/>
              <w:spacing w:after="0" w:line="240" w:lineRule="auto"/>
              <w:jc w:val="both"/>
            </w:pPr>
            <w:r>
              <w:rPr>
                <w:sz w:val="18"/>
              </w:rPr>
              <w:t>Pomoći od izvanproračunskih korisnika (šifre 6341+6342)</w:t>
            </w:r>
          </w:p>
        </w:tc>
        <w:tc>
          <w:tcPr>
            <w:tcW w:w="700" w:type="dxa"/>
            <w:tcMar>
              <w:top w:w="0" w:type="dxa"/>
              <w:bottom w:w="0" w:type="dxa"/>
            </w:tcMar>
            <w:vAlign w:val="center"/>
          </w:tcPr>
          <w:p w14:paraId="39D1F5D3" w14:textId="77777777" w:rsidR="00422385" w:rsidRDefault="00000000" w:rsidP="00F20266">
            <w:pPr>
              <w:keepNext/>
              <w:keepLines/>
              <w:spacing w:after="0" w:line="240" w:lineRule="auto"/>
              <w:jc w:val="both"/>
            </w:pPr>
            <w:r>
              <w:rPr>
                <w:sz w:val="18"/>
              </w:rPr>
              <w:t>634</w:t>
            </w:r>
          </w:p>
        </w:tc>
        <w:tc>
          <w:tcPr>
            <w:tcW w:w="1860" w:type="dxa"/>
            <w:tcMar>
              <w:top w:w="0" w:type="dxa"/>
              <w:bottom w:w="0" w:type="dxa"/>
            </w:tcMar>
            <w:vAlign w:val="center"/>
          </w:tcPr>
          <w:p w14:paraId="46D0657A" w14:textId="77777777" w:rsidR="00422385" w:rsidRDefault="00000000" w:rsidP="00F20266">
            <w:pPr>
              <w:keepNext/>
              <w:keepLines/>
              <w:spacing w:after="0" w:line="240" w:lineRule="auto"/>
              <w:jc w:val="both"/>
            </w:pPr>
            <w:r>
              <w:rPr>
                <w:sz w:val="18"/>
              </w:rPr>
              <w:t>28.465,00</w:t>
            </w:r>
          </w:p>
        </w:tc>
        <w:tc>
          <w:tcPr>
            <w:tcW w:w="1860" w:type="dxa"/>
            <w:tcMar>
              <w:top w:w="0" w:type="dxa"/>
              <w:bottom w:w="0" w:type="dxa"/>
            </w:tcMar>
            <w:vAlign w:val="center"/>
          </w:tcPr>
          <w:p w14:paraId="43D1CEF7" w14:textId="77777777" w:rsidR="00422385" w:rsidRDefault="00000000" w:rsidP="00F20266">
            <w:pPr>
              <w:keepNext/>
              <w:keepLines/>
              <w:spacing w:after="0" w:line="240" w:lineRule="auto"/>
              <w:jc w:val="both"/>
            </w:pPr>
            <w:r>
              <w:rPr>
                <w:sz w:val="18"/>
              </w:rPr>
              <w:t>0,00</w:t>
            </w:r>
          </w:p>
        </w:tc>
        <w:tc>
          <w:tcPr>
            <w:tcW w:w="700" w:type="dxa"/>
            <w:tcMar>
              <w:top w:w="0" w:type="dxa"/>
              <w:bottom w:w="0" w:type="dxa"/>
            </w:tcMar>
            <w:vAlign w:val="center"/>
          </w:tcPr>
          <w:p w14:paraId="62FDA4CF" w14:textId="77777777" w:rsidR="00422385" w:rsidRDefault="00000000" w:rsidP="00F20266">
            <w:pPr>
              <w:keepNext/>
              <w:keepLines/>
              <w:spacing w:after="0" w:line="240" w:lineRule="auto"/>
              <w:jc w:val="both"/>
            </w:pPr>
            <w:r>
              <w:rPr>
                <w:sz w:val="18"/>
              </w:rPr>
              <w:t>0</w:t>
            </w:r>
          </w:p>
        </w:tc>
      </w:tr>
    </w:tbl>
    <w:p w14:paraId="5457D80C" w14:textId="77777777" w:rsidR="00422385" w:rsidRDefault="00422385" w:rsidP="00F20266">
      <w:pPr>
        <w:spacing w:after="0"/>
        <w:jc w:val="both"/>
      </w:pPr>
    </w:p>
    <w:p w14:paraId="49081582" w14:textId="77777777" w:rsidR="00422385" w:rsidRDefault="00000000" w:rsidP="00F20266">
      <w:pPr>
        <w:jc w:val="both"/>
      </w:pPr>
      <w:r>
        <w:t>Pomoći od izvanproračunskih korisnika (šifre 6341+6342) u 2025. godini nisu ostvarene. U 2024. godini bila su realizirana sredstva od strane Fonda za zaštitu okoliša i energetske učinkovitosti za nabavu spremnika za bio otpad. Ove godine nismo aplicirali na natječaje za sufinanciranje nabavke spremnika za otpad ili slične aktivnosti.</w:t>
      </w:r>
      <w:r>
        <w:br/>
        <w:t> </w:t>
      </w:r>
    </w:p>
    <w:p w14:paraId="562DEB33" w14:textId="77777777" w:rsidR="00422385" w:rsidRDefault="00422385" w:rsidP="00F20266">
      <w:pPr>
        <w:jc w:val="both"/>
      </w:pPr>
    </w:p>
    <w:p w14:paraId="3AA4EE9A" w14:textId="77777777" w:rsidR="00422385" w:rsidRDefault="00000000" w:rsidP="00F20266">
      <w:pPr>
        <w:keepNext/>
        <w:spacing w:line="240" w:lineRule="auto"/>
        <w:jc w:val="both"/>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36DBB46E" w14:textId="77777777">
        <w:trPr>
          <w:cantSplit/>
        </w:trPr>
        <w:tc>
          <w:tcPr>
            <w:tcW w:w="700" w:type="dxa"/>
            <w:shd w:val="clear" w:color="auto" w:fill="E7F0F9"/>
            <w:tcMar>
              <w:top w:w="0" w:type="dxa"/>
              <w:bottom w:w="0" w:type="dxa"/>
            </w:tcMar>
            <w:vAlign w:val="center"/>
          </w:tcPr>
          <w:p w14:paraId="64625313"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19E488"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B610D13"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53F594E"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1A520983"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5843A9F3" w14:textId="77777777" w:rsidR="00422385" w:rsidRDefault="00000000" w:rsidP="00F20266">
            <w:pPr>
              <w:keepNext/>
              <w:keepLines/>
              <w:spacing w:after="0" w:line="240" w:lineRule="auto"/>
              <w:jc w:val="both"/>
            </w:pPr>
            <w:r>
              <w:rPr>
                <w:b/>
                <w:sz w:val="18"/>
              </w:rPr>
              <w:t>Indeks (%)</w:t>
            </w:r>
          </w:p>
        </w:tc>
      </w:tr>
      <w:tr w:rsidR="00422385" w14:paraId="46644E41" w14:textId="77777777">
        <w:trPr>
          <w:cantSplit/>
          <w:trHeight w:val="560"/>
        </w:trPr>
        <w:tc>
          <w:tcPr>
            <w:tcW w:w="700" w:type="dxa"/>
            <w:tcMar>
              <w:top w:w="0" w:type="dxa"/>
              <w:bottom w:w="0" w:type="dxa"/>
            </w:tcMar>
            <w:vAlign w:val="center"/>
          </w:tcPr>
          <w:p w14:paraId="25A5C20B" w14:textId="77777777" w:rsidR="00422385" w:rsidRDefault="00000000" w:rsidP="00F20266">
            <w:pPr>
              <w:keepNext/>
              <w:keepLines/>
              <w:spacing w:after="0" w:line="240" w:lineRule="auto"/>
              <w:jc w:val="both"/>
            </w:pPr>
            <w:r>
              <w:rPr>
                <w:sz w:val="18"/>
              </w:rPr>
              <w:t>6421</w:t>
            </w:r>
          </w:p>
        </w:tc>
        <w:tc>
          <w:tcPr>
            <w:tcW w:w="3180" w:type="dxa"/>
            <w:tcMar>
              <w:top w:w="0" w:type="dxa"/>
              <w:bottom w:w="0" w:type="dxa"/>
            </w:tcMar>
            <w:vAlign w:val="center"/>
          </w:tcPr>
          <w:p w14:paraId="6311F0EB" w14:textId="77777777" w:rsidR="00422385" w:rsidRDefault="00000000" w:rsidP="00F20266">
            <w:pPr>
              <w:keepNext/>
              <w:keepLines/>
              <w:spacing w:after="0" w:line="240" w:lineRule="auto"/>
              <w:jc w:val="both"/>
            </w:pPr>
            <w:r>
              <w:rPr>
                <w:sz w:val="18"/>
              </w:rPr>
              <w:t>Naknade za koncesije</w:t>
            </w:r>
          </w:p>
        </w:tc>
        <w:tc>
          <w:tcPr>
            <w:tcW w:w="700" w:type="dxa"/>
            <w:tcMar>
              <w:top w:w="0" w:type="dxa"/>
              <w:bottom w:w="0" w:type="dxa"/>
            </w:tcMar>
            <w:vAlign w:val="center"/>
          </w:tcPr>
          <w:p w14:paraId="425447CE" w14:textId="77777777" w:rsidR="00422385" w:rsidRDefault="00000000" w:rsidP="00F20266">
            <w:pPr>
              <w:keepNext/>
              <w:keepLines/>
              <w:spacing w:after="0" w:line="240" w:lineRule="auto"/>
              <w:jc w:val="both"/>
            </w:pPr>
            <w:r>
              <w:rPr>
                <w:sz w:val="18"/>
              </w:rPr>
              <w:t>6421</w:t>
            </w:r>
          </w:p>
        </w:tc>
        <w:tc>
          <w:tcPr>
            <w:tcW w:w="1860" w:type="dxa"/>
            <w:tcMar>
              <w:top w:w="0" w:type="dxa"/>
              <w:bottom w:w="0" w:type="dxa"/>
            </w:tcMar>
            <w:vAlign w:val="center"/>
          </w:tcPr>
          <w:p w14:paraId="36537AE9" w14:textId="77777777" w:rsidR="00422385" w:rsidRDefault="00000000" w:rsidP="00F20266">
            <w:pPr>
              <w:keepNext/>
              <w:keepLines/>
              <w:spacing w:after="0" w:line="240" w:lineRule="auto"/>
              <w:jc w:val="both"/>
            </w:pPr>
            <w:r>
              <w:rPr>
                <w:sz w:val="18"/>
              </w:rPr>
              <w:t>130.235,58</w:t>
            </w:r>
          </w:p>
        </w:tc>
        <w:tc>
          <w:tcPr>
            <w:tcW w:w="1860" w:type="dxa"/>
            <w:tcMar>
              <w:top w:w="0" w:type="dxa"/>
              <w:bottom w:w="0" w:type="dxa"/>
            </w:tcMar>
            <w:vAlign w:val="center"/>
          </w:tcPr>
          <w:p w14:paraId="3B9F04A7" w14:textId="77777777" w:rsidR="00422385" w:rsidRDefault="00000000" w:rsidP="00F20266">
            <w:pPr>
              <w:keepNext/>
              <w:keepLines/>
              <w:spacing w:after="0" w:line="240" w:lineRule="auto"/>
              <w:jc w:val="both"/>
            </w:pPr>
            <w:r>
              <w:rPr>
                <w:sz w:val="18"/>
              </w:rPr>
              <w:t>174.325,78</w:t>
            </w:r>
          </w:p>
        </w:tc>
        <w:tc>
          <w:tcPr>
            <w:tcW w:w="700" w:type="dxa"/>
            <w:tcMar>
              <w:top w:w="0" w:type="dxa"/>
              <w:bottom w:w="0" w:type="dxa"/>
            </w:tcMar>
            <w:vAlign w:val="center"/>
          </w:tcPr>
          <w:p w14:paraId="5E82437F" w14:textId="77777777" w:rsidR="00422385" w:rsidRDefault="00000000" w:rsidP="00F20266">
            <w:pPr>
              <w:keepNext/>
              <w:keepLines/>
              <w:spacing w:after="0" w:line="240" w:lineRule="auto"/>
              <w:jc w:val="both"/>
            </w:pPr>
            <w:r>
              <w:rPr>
                <w:sz w:val="18"/>
              </w:rPr>
              <w:t>133,9</w:t>
            </w:r>
          </w:p>
        </w:tc>
      </w:tr>
    </w:tbl>
    <w:p w14:paraId="111AFBC4" w14:textId="77777777" w:rsidR="00422385" w:rsidRDefault="00422385" w:rsidP="00F20266">
      <w:pPr>
        <w:spacing w:after="0"/>
        <w:jc w:val="both"/>
      </w:pPr>
    </w:p>
    <w:p w14:paraId="5339541C" w14:textId="5F819E03" w:rsidR="00422385" w:rsidRDefault="00000000" w:rsidP="00F20266">
      <w:pPr>
        <w:jc w:val="both"/>
      </w:pPr>
      <w:r>
        <w:t xml:space="preserve">Naknade za koncesije (6421) ostvarene su u iznosu od 174.325,78 EUR što predstavlja povećanje od 33,9% u odnosu na prethodnu godinu za isto razdoblje. Razlog veće realizacije prihoda po ovoj osnovi je povećanje </w:t>
      </w:r>
      <w:r w:rsidR="00530BB0">
        <w:t xml:space="preserve">visine </w:t>
      </w:r>
      <w:r>
        <w:t>naknad</w:t>
      </w:r>
      <w:r w:rsidR="00530BB0">
        <w:t>a</w:t>
      </w:r>
      <w:r>
        <w:t xml:space="preserve"> za koncesije.</w:t>
      </w:r>
      <w:r>
        <w:br/>
        <w:t> </w:t>
      </w:r>
    </w:p>
    <w:p w14:paraId="595CA211" w14:textId="77777777" w:rsidR="00422385" w:rsidRDefault="00422385" w:rsidP="00F20266">
      <w:pPr>
        <w:jc w:val="both"/>
      </w:pPr>
    </w:p>
    <w:p w14:paraId="51C25598" w14:textId="77777777" w:rsidR="00422385" w:rsidRDefault="00000000" w:rsidP="00F20266">
      <w:pPr>
        <w:keepNext/>
        <w:spacing w:line="240" w:lineRule="auto"/>
        <w:jc w:val="both"/>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18433397" w14:textId="77777777">
        <w:trPr>
          <w:cantSplit/>
        </w:trPr>
        <w:tc>
          <w:tcPr>
            <w:tcW w:w="700" w:type="dxa"/>
            <w:shd w:val="clear" w:color="auto" w:fill="E7F0F9"/>
            <w:tcMar>
              <w:top w:w="0" w:type="dxa"/>
              <w:bottom w:w="0" w:type="dxa"/>
            </w:tcMar>
            <w:vAlign w:val="center"/>
          </w:tcPr>
          <w:p w14:paraId="275A85E2"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CEE486"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A21D613"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F1E783C"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2EF76DC4"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53AB51E" w14:textId="77777777" w:rsidR="00422385" w:rsidRDefault="00000000" w:rsidP="00F20266">
            <w:pPr>
              <w:keepNext/>
              <w:keepLines/>
              <w:spacing w:after="0" w:line="240" w:lineRule="auto"/>
              <w:jc w:val="both"/>
            </w:pPr>
            <w:r>
              <w:rPr>
                <w:b/>
                <w:sz w:val="18"/>
              </w:rPr>
              <w:t>Indeks (%)</w:t>
            </w:r>
          </w:p>
        </w:tc>
      </w:tr>
      <w:tr w:rsidR="00422385" w14:paraId="5B4EF795" w14:textId="77777777">
        <w:trPr>
          <w:cantSplit/>
          <w:trHeight w:val="560"/>
        </w:trPr>
        <w:tc>
          <w:tcPr>
            <w:tcW w:w="700" w:type="dxa"/>
            <w:tcMar>
              <w:top w:w="0" w:type="dxa"/>
              <w:bottom w:w="0" w:type="dxa"/>
            </w:tcMar>
            <w:vAlign w:val="center"/>
          </w:tcPr>
          <w:p w14:paraId="651EECB6" w14:textId="77777777" w:rsidR="00422385" w:rsidRDefault="00000000" w:rsidP="00F20266">
            <w:pPr>
              <w:keepNext/>
              <w:keepLines/>
              <w:spacing w:after="0" w:line="240" w:lineRule="auto"/>
              <w:jc w:val="both"/>
            </w:pPr>
            <w:r>
              <w:rPr>
                <w:sz w:val="18"/>
              </w:rPr>
              <w:t>653</w:t>
            </w:r>
          </w:p>
        </w:tc>
        <w:tc>
          <w:tcPr>
            <w:tcW w:w="3180" w:type="dxa"/>
            <w:tcMar>
              <w:top w:w="0" w:type="dxa"/>
              <w:bottom w:w="0" w:type="dxa"/>
            </w:tcMar>
            <w:vAlign w:val="center"/>
          </w:tcPr>
          <w:p w14:paraId="6E6BFF8B" w14:textId="77777777" w:rsidR="00422385" w:rsidRDefault="00000000" w:rsidP="00F20266">
            <w:pPr>
              <w:keepNext/>
              <w:keepLines/>
              <w:spacing w:after="0" w:line="240" w:lineRule="auto"/>
              <w:jc w:val="both"/>
            </w:pPr>
            <w:r>
              <w:rPr>
                <w:sz w:val="18"/>
              </w:rPr>
              <w:t>Komunalni doprinosi i naknade (šifre 6531 do 6533)</w:t>
            </w:r>
          </w:p>
        </w:tc>
        <w:tc>
          <w:tcPr>
            <w:tcW w:w="700" w:type="dxa"/>
            <w:tcMar>
              <w:top w:w="0" w:type="dxa"/>
              <w:bottom w:w="0" w:type="dxa"/>
            </w:tcMar>
            <w:vAlign w:val="center"/>
          </w:tcPr>
          <w:p w14:paraId="40377A3F" w14:textId="77777777" w:rsidR="00422385" w:rsidRDefault="00000000" w:rsidP="00F20266">
            <w:pPr>
              <w:keepNext/>
              <w:keepLines/>
              <w:spacing w:after="0" w:line="240" w:lineRule="auto"/>
              <w:jc w:val="both"/>
            </w:pPr>
            <w:r>
              <w:rPr>
                <w:sz w:val="18"/>
              </w:rPr>
              <w:t>653</w:t>
            </w:r>
          </w:p>
        </w:tc>
        <w:tc>
          <w:tcPr>
            <w:tcW w:w="1860" w:type="dxa"/>
            <w:tcMar>
              <w:top w:w="0" w:type="dxa"/>
              <w:bottom w:w="0" w:type="dxa"/>
            </w:tcMar>
            <w:vAlign w:val="center"/>
          </w:tcPr>
          <w:p w14:paraId="2B599B61" w14:textId="77777777" w:rsidR="00422385" w:rsidRDefault="00000000" w:rsidP="00F20266">
            <w:pPr>
              <w:keepNext/>
              <w:keepLines/>
              <w:spacing w:after="0" w:line="240" w:lineRule="auto"/>
              <w:jc w:val="both"/>
            </w:pPr>
            <w:r>
              <w:rPr>
                <w:sz w:val="18"/>
              </w:rPr>
              <w:t>560.567,55</w:t>
            </w:r>
          </w:p>
        </w:tc>
        <w:tc>
          <w:tcPr>
            <w:tcW w:w="1860" w:type="dxa"/>
            <w:tcMar>
              <w:top w:w="0" w:type="dxa"/>
              <w:bottom w:w="0" w:type="dxa"/>
            </w:tcMar>
            <w:vAlign w:val="center"/>
          </w:tcPr>
          <w:p w14:paraId="27AA9F92" w14:textId="77777777" w:rsidR="00422385" w:rsidRDefault="00000000" w:rsidP="00F20266">
            <w:pPr>
              <w:keepNext/>
              <w:keepLines/>
              <w:spacing w:after="0" w:line="240" w:lineRule="auto"/>
              <w:jc w:val="both"/>
            </w:pPr>
            <w:r>
              <w:rPr>
                <w:sz w:val="18"/>
              </w:rPr>
              <w:t>869.934,76</w:t>
            </w:r>
          </w:p>
        </w:tc>
        <w:tc>
          <w:tcPr>
            <w:tcW w:w="700" w:type="dxa"/>
            <w:tcMar>
              <w:top w:w="0" w:type="dxa"/>
              <w:bottom w:w="0" w:type="dxa"/>
            </w:tcMar>
            <w:vAlign w:val="center"/>
          </w:tcPr>
          <w:p w14:paraId="57B87AE1" w14:textId="77777777" w:rsidR="00422385" w:rsidRDefault="00000000" w:rsidP="00F20266">
            <w:pPr>
              <w:keepNext/>
              <w:keepLines/>
              <w:spacing w:after="0" w:line="240" w:lineRule="auto"/>
              <w:jc w:val="both"/>
            </w:pPr>
            <w:r>
              <w:rPr>
                <w:sz w:val="18"/>
              </w:rPr>
              <w:t>155,2</w:t>
            </w:r>
          </w:p>
        </w:tc>
      </w:tr>
    </w:tbl>
    <w:p w14:paraId="7F7CF3E7" w14:textId="77777777" w:rsidR="00422385" w:rsidRDefault="00422385" w:rsidP="00F20266">
      <w:pPr>
        <w:spacing w:after="0"/>
        <w:jc w:val="both"/>
      </w:pPr>
    </w:p>
    <w:p w14:paraId="77A5F0E2" w14:textId="7E59FA5B" w:rsidR="00422385" w:rsidRDefault="00000000" w:rsidP="00F20266">
      <w:pPr>
        <w:jc w:val="both"/>
      </w:pPr>
      <w:r>
        <w:t>Ukupni prihodi po osnovi Komunalnih doprinosa i naknada (šifre 6531 do 6533) ostvareni su u iznosu od 869.934,76 EUR što predst</w:t>
      </w:r>
      <w:r w:rsidR="00607605">
        <w:t>a</w:t>
      </w:r>
      <w:r>
        <w:t>vlja povećanje od 55,2% u odnosu na prethodnu godinu.</w:t>
      </w:r>
    </w:p>
    <w:p w14:paraId="3416F3A1" w14:textId="77777777" w:rsidR="00422385" w:rsidRDefault="00000000" w:rsidP="00F20266">
      <w:pPr>
        <w:jc w:val="both"/>
      </w:pPr>
      <w:r>
        <w:t>Razlog povećanja prihoda je povećani broj obračunatih komunalnih doprinosa i naplaćenih u izvještajnom razdoblju. </w:t>
      </w:r>
    </w:p>
    <w:p w14:paraId="6F8D461F" w14:textId="77777777" w:rsidR="00422385" w:rsidRDefault="00422385" w:rsidP="00F20266">
      <w:pPr>
        <w:jc w:val="both"/>
      </w:pPr>
    </w:p>
    <w:p w14:paraId="19C7FCEA" w14:textId="77777777" w:rsidR="00422385" w:rsidRDefault="00000000" w:rsidP="00F20266">
      <w:pPr>
        <w:keepNext/>
        <w:spacing w:line="240" w:lineRule="auto"/>
        <w:jc w:val="both"/>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37E2FDD3" w14:textId="77777777">
        <w:trPr>
          <w:cantSplit/>
        </w:trPr>
        <w:tc>
          <w:tcPr>
            <w:tcW w:w="700" w:type="dxa"/>
            <w:shd w:val="clear" w:color="auto" w:fill="E7F0F9"/>
            <w:tcMar>
              <w:top w:w="0" w:type="dxa"/>
              <w:bottom w:w="0" w:type="dxa"/>
            </w:tcMar>
            <w:vAlign w:val="center"/>
          </w:tcPr>
          <w:p w14:paraId="283E54FB"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4EEEF5"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1321BAC"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A5C7A43"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8CB41F2"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8ADA013" w14:textId="77777777" w:rsidR="00422385" w:rsidRDefault="00000000" w:rsidP="00F20266">
            <w:pPr>
              <w:keepNext/>
              <w:keepLines/>
              <w:spacing w:after="0" w:line="240" w:lineRule="auto"/>
              <w:jc w:val="both"/>
            </w:pPr>
            <w:r>
              <w:rPr>
                <w:b/>
                <w:sz w:val="18"/>
              </w:rPr>
              <w:t>Indeks (%)</w:t>
            </w:r>
          </w:p>
        </w:tc>
      </w:tr>
      <w:tr w:rsidR="00422385" w14:paraId="4D657862" w14:textId="77777777">
        <w:trPr>
          <w:cantSplit/>
          <w:trHeight w:val="560"/>
        </w:trPr>
        <w:tc>
          <w:tcPr>
            <w:tcW w:w="700" w:type="dxa"/>
            <w:tcMar>
              <w:top w:w="0" w:type="dxa"/>
              <w:bottom w:w="0" w:type="dxa"/>
            </w:tcMar>
            <w:vAlign w:val="center"/>
          </w:tcPr>
          <w:p w14:paraId="1A306A7C" w14:textId="77777777" w:rsidR="00422385" w:rsidRDefault="00000000" w:rsidP="00F20266">
            <w:pPr>
              <w:keepNext/>
              <w:keepLines/>
              <w:spacing w:after="0" w:line="240" w:lineRule="auto"/>
              <w:jc w:val="both"/>
            </w:pPr>
            <w:r>
              <w:rPr>
                <w:sz w:val="18"/>
              </w:rPr>
              <w:t>6531</w:t>
            </w:r>
          </w:p>
        </w:tc>
        <w:tc>
          <w:tcPr>
            <w:tcW w:w="3180" w:type="dxa"/>
            <w:tcMar>
              <w:top w:w="0" w:type="dxa"/>
              <w:bottom w:w="0" w:type="dxa"/>
            </w:tcMar>
            <w:vAlign w:val="center"/>
          </w:tcPr>
          <w:p w14:paraId="4E71E0ED" w14:textId="77777777" w:rsidR="00422385" w:rsidRDefault="00000000" w:rsidP="00F20266">
            <w:pPr>
              <w:keepNext/>
              <w:keepLines/>
              <w:spacing w:after="0" w:line="240" w:lineRule="auto"/>
              <w:jc w:val="both"/>
            </w:pPr>
            <w:r>
              <w:rPr>
                <w:sz w:val="18"/>
              </w:rPr>
              <w:t>Komunalni doprinosi</w:t>
            </w:r>
          </w:p>
        </w:tc>
        <w:tc>
          <w:tcPr>
            <w:tcW w:w="700" w:type="dxa"/>
            <w:tcMar>
              <w:top w:w="0" w:type="dxa"/>
              <w:bottom w:w="0" w:type="dxa"/>
            </w:tcMar>
            <w:vAlign w:val="center"/>
          </w:tcPr>
          <w:p w14:paraId="01CEC1B0" w14:textId="77777777" w:rsidR="00422385" w:rsidRDefault="00000000" w:rsidP="00F20266">
            <w:pPr>
              <w:keepNext/>
              <w:keepLines/>
              <w:spacing w:after="0" w:line="240" w:lineRule="auto"/>
              <w:jc w:val="both"/>
            </w:pPr>
            <w:r>
              <w:rPr>
                <w:sz w:val="18"/>
              </w:rPr>
              <w:t>6531</w:t>
            </w:r>
          </w:p>
        </w:tc>
        <w:tc>
          <w:tcPr>
            <w:tcW w:w="1860" w:type="dxa"/>
            <w:tcMar>
              <w:top w:w="0" w:type="dxa"/>
              <w:bottom w:w="0" w:type="dxa"/>
            </w:tcMar>
            <w:vAlign w:val="center"/>
          </w:tcPr>
          <w:p w14:paraId="73E92B64" w14:textId="77777777" w:rsidR="00422385" w:rsidRDefault="00000000" w:rsidP="00F20266">
            <w:pPr>
              <w:keepNext/>
              <w:keepLines/>
              <w:spacing w:after="0" w:line="240" w:lineRule="auto"/>
              <w:jc w:val="both"/>
            </w:pPr>
            <w:r>
              <w:rPr>
                <w:sz w:val="18"/>
              </w:rPr>
              <w:t>32.308,54</w:t>
            </w:r>
          </w:p>
        </w:tc>
        <w:tc>
          <w:tcPr>
            <w:tcW w:w="1860" w:type="dxa"/>
            <w:tcMar>
              <w:top w:w="0" w:type="dxa"/>
              <w:bottom w:w="0" w:type="dxa"/>
            </w:tcMar>
            <w:vAlign w:val="center"/>
          </w:tcPr>
          <w:p w14:paraId="53328CD9" w14:textId="77777777" w:rsidR="00422385" w:rsidRDefault="00000000" w:rsidP="00F20266">
            <w:pPr>
              <w:keepNext/>
              <w:keepLines/>
              <w:spacing w:after="0" w:line="240" w:lineRule="auto"/>
              <w:jc w:val="both"/>
            </w:pPr>
            <w:r>
              <w:rPr>
                <w:sz w:val="18"/>
              </w:rPr>
              <w:t>318.419,34</w:t>
            </w:r>
          </w:p>
        </w:tc>
        <w:tc>
          <w:tcPr>
            <w:tcW w:w="700" w:type="dxa"/>
            <w:tcMar>
              <w:top w:w="0" w:type="dxa"/>
              <w:bottom w:w="0" w:type="dxa"/>
            </w:tcMar>
            <w:vAlign w:val="center"/>
          </w:tcPr>
          <w:p w14:paraId="5552326E" w14:textId="77777777" w:rsidR="00422385" w:rsidRDefault="00000000" w:rsidP="00F20266">
            <w:pPr>
              <w:keepNext/>
              <w:keepLines/>
              <w:spacing w:after="0" w:line="240" w:lineRule="auto"/>
              <w:jc w:val="both"/>
            </w:pPr>
            <w:r>
              <w:rPr>
                <w:sz w:val="18"/>
              </w:rPr>
              <w:t>985,6</w:t>
            </w:r>
          </w:p>
        </w:tc>
      </w:tr>
    </w:tbl>
    <w:p w14:paraId="48C819F3" w14:textId="77777777" w:rsidR="00422385" w:rsidRDefault="00422385" w:rsidP="00F20266">
      <w:pPr>
        <w:spacing w:after="0"/>
        <w:jc w:val="both"/>
      </w:pPr>
    </w:p>
    <w:p w14:paraId="3F984AA8" w14:textId="77777777" w:rsidR="00422385" w:rsidRDefault="00000000" w:rsidP="00F20266">
      <w:pPr>
        <w:jc w:val="both"/>
      </w:pPr>
      <w:r>
        <w:t>Povećanje prihoda od komunalnih doprinosa u iznosu od 318.419,34 EUR odnosno sa 885,6% više od 2024. godine, razlog je povećani broj izdanih rješenja za obračunate komunalne doprinose i naplata istih.</w:t>
      </w:r>
      <w:r>
        <w:br/>
        <w:t> </w:t>
      </w:r>
      <w:r>
        <w:br/>
        <w:t> </w:t>
      </w:r>
    </w:p>
    <w:p w14:paraId="5074DE88" w14:textId="77777777" w:rsidR="00422385" w:rsidRDefault="00422385" w:rsidP="00F20266">
      <w:pPr>
        <w:jc w:val="both"/>
      </w:pPr>
    </w:p>
    <w:p w14:paraId="2E89D688" w14:textId="77777777" w:rsidR="00422385" w:rsidRDefault="00000000" w:rsidP="00F20266">
      <w:pPr>
        <w:keepNext/>
        <w:spacing w:line="240" w:lineRule="auto"/>
        <w:jc w:val="both"/>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0DC22F50" w14:textId="77777777">
        <w:trPr>
          <w:cantSplit/>
        </w:trPr>
        <w:tc>
          <w:tcPr>
            <w:tcW w:w="700" w:type="dxa"/>
            <w:shd w:val="clear" w:color="auto" w:fill="E7F0F9"/>
            <w:tcMar>
              <w:top w:w="0" w:type="dxa"/>
              <w:bottom w:w="0" w:type="dxa"/>
            </w:tcMar>
            <w:vAlign w:val="center"/>
          </w:tcPr>
          <w:p w14:paraId="78F7F20D"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0DC3F9"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A240CFC"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412FE1C"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37AB347D"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3E0981B7" w14:textId="77777777" w:rsidR="00422385" w:rsidRDefault="00000000" w:rsidP="00F20266">
            <w:pPr>
              <w:keepNext/>
              <w:keepLines/>
              <w:spacing w:after="0" w:line="240" w:lineRule="auto"/>
              <w:jc w:val="both"/>
            </w:pPr>
            <w:r>
              <w:rPr>
                <w:b/>
                <w:sz w:val="18"/>
              </w:rPr>
              <w:t>Indeks (%)</w:t>
            </w:r>
          </w:p>
        </w:tc>
      </w:tr>
      <w:tr w:rsidR="00422385" w14:paraId="1F304C33" w14:textId="77777777">
        <w:trPr>
          <w:cantSplit/>
          <w:trHeight w:val="560"/>
        </w:trPr>
        <w:tc>
          <w:tcPr>
            <w:tcW w:w="700" w:type="dxa"/>
            <w:tcMar>
              <w:top w:w="0" w:type="dxa"/>
              <w:bottom w:w="0" w:type="dxa"/>
            </w:tcMar>
            <w:vAlign w:val="center"/>
          </w:tcPr>
          <w:p w14:paraId="6D9DBDC4" w14:textId="77777777" w:rsidR="00422385" w:rsidRDefault="00000000" w:rsidP="00F20266">
            <w:pPr>
              <w:keepNext/>
              <w:keepLines/>
              <w:spacing w:after="0" w:line="240" w:lineRule="auto"/>
              <w:jc w:val="both"/>
            </w:pPr>
            <w:r>
              <w:rPr>
                <w:sz w:val="18"/>
              </w:rPr>
              <w:t>3</w:t>
            </w:r>
          </w:p>
        </w:tc>
        <w:tc>
          <w:tcPr>
            <w:tcW w:w="3180" w:type="dxa"/>
            <w:tcMar>
              <w:top w:w="0" w:type="dxa"/>
              <w:bottom w:w="0" w:type="dxa"/>
            </w:tcMar>
            <w:vAlign w:val="center"/>
          </w:tcPr>
          <w:p w14:paraId="578600C3" w14:textId="77777777" w:rsidR="00422385" w:rsidRDefault="00000000" w:rsidP="00F20266">
            <w:pPr>
              <w:keepNext/>
              <w:keepLines/>
              <w:spacing w:after="0" w:line="240" w:lineRule="auto"/>
              <w:jc w:val="both"/>
            </w:pPr>
            <w:r>
              <w:rPr>
                <w:sz w:val="18"/>
              </w:rPr>
              <w:t>RASHODI POSLOVANJA (šifre 31+32+34+35+36+37+38)</w:t>
            </w:r>
          </w:p>
        </w:tc>
        <w:tc>
          <w:tcPr>
            <w:tcW w:w="700" w:type="dxa"/>
            <w:tcMar>
              <w:top w:w="0" w:type="dxa"/>
              <w:bottom w:w="0" w:type="dxa"/>
            </w:tcMar>
            <w:vAlign w:val="center"/>
          </w:tcPr>
          <w:p w14:paraId="4AD81CB8" w14:textId="77777777" w:rsidR="00422385" w:rsidRDefault="00000000" w:rsidP="00F20266">
            <w:pPr>
              <w:keepNext/>
              <w:keepLines/>
              <w:spacing w:after="0" w:line="240" w:lineRule="auto"/>
              <w:jc w:val="both"/>
            </w:pPr>
            <w:r>
              <w:rPr>
                <w:sz w:val="18"/>
              </w:rPr>
              <w:t>3</w:t>
            </w:r>
          </w:p>
        </w:tc>
        <w:tc>
          <w:tcPr>
            <w:tcW w:w="1860" w:type="dxa"/>
            <w:tcMar>
              <w:top w:w="0" w:type="dxa"/>
              <w:bottom w:w="0" w:type="dxa"/>
            </w:tcMar>
            <w:vAlign w:val="center"/>
          </w:tcPr>
          <w:p w14:paraId="5FD29D8D" w14:textId="77777777" w:rsidR="00422385" w:rsidRDefault="00000000" w:rsidP="00F20266">
            <w:pPr>
              <w:keepNext/>
              <w:keepLines/>
              <w:spacing w:after="0" w:line="240" w:lineRule="auto"/>
              <w:jc w:val="both"/>
            </w:pPr>
            <w:r>
              <w:rPr>
                <w:sz w:val="18"/>
              </w:rPr>
              <w:t>5.183.818,44</w:t>
            </w:r>
          </w:p>
        </w:tc>
        <w:tc>
          <w:tcPr>
            <w:tcW w:w="1860" w:type="dxa"/>
            <w:tcMar>
              <w:top w:w="0" w:type="dxa"/>
              <w:bottom w:w="0" w:type="dxa"/>
            </w:tcMar>
            <w:vAlign w:val="center"/>
          </w:tcPr>
          <w:p w14:paraId="2DF31AD7" w14:textId="77777777" w:rsidR="00422385" w:rsidRDefault="00000000" w:rsidP="00F20266">
            <w:pPr>
              <w:keepNext/>
              <w:keepLines/>
              <w:spacing w:after="0" w:line="240" w:lineRule="auto"/>
              <w:jc w:val="both"/>
            </w:pPr>
            <w:r>
              <w:rPr>
                <w:sz w:val="18"/>
              </w:rPr>
              <w:t>5.889.795,06</w:t>
            </w:r>
          </w:p>
        </w:tc>
        <w:tc>
          <w:tcPr>
            <w:tcW w:w="700" w:type="dxa"/>
            <w:tcMar>
              <w:top w:w="0" w:type="dxa"/>
              <w:bottom w:w="0" w:type="dxa"/>
            </w:tcMar>
            <w:vAlign w:val="center"/>
          </w:tcPr>
          <w:p w14:paraId="6259842B" w14:textId="77777777" w:rsidR="00422385" w:rsidRDefault="00000000" w:rsidP="00F20266">
            <w:pPr>
              <w:keepNext/>
              <w:keepLines/>
              <w:spacing w:after="0" w:line="240" w:lineRule="auto"/>
              <w:jc w:val="both"/>
            </w:pPr>
            <w:r>
              <w:rPr>
                <w:sz w:val="18"/>
              </w:rPr>
              <w:t>113,6</w:t>
            </w:r>
          </w:p>
        </w:tc>
      </w:tr>
    </w:tbl>
    <w:p w14:paraId="1AE80D8E" w14:textId="77777777" w:rsidR="00422385" w:rsidRDefault="00422385" w:rsidP="00F20266">
      <w:pPr>
        <w:spacing w:after="0"/>
        <w:jc w:val="both"/>
      </w:pPr>
    </w:p>
    <w:p w14:paraId="535CCFEF" w14:textId="77777777" w:rsidR="00422385" w:rsidRDefault="00000000" w:rsidP="00F20266">
      <w:pPr>
        <w:jc w:val="both"/>
      </w:pPr>
      <w:r>
        <w:t>RASHODI POSLOVANJA (3) Općine Fažana-Fasana ostvareni su u iznosu od 5.889.795,06 EUR sa indeksom od 113,6 u odnosu na prethodnu godinu kad su ostvareni u iznosu od 5.183.818,44 EUR, a sastoje se od :</w:t>
      </w:r>
    </w:p>
    <w:p w14:paraId="2AA1EB60" w14:textId="77777777" w:rsidR="00422385" w:rsidRDefault="00000000" w:rsidP="00F20266">
      <w:pPr>
        <w:jc w:val="both"/>
      </w:pPr>
      <w:r>
        <w:t>            - rashodi za zaposlene (31)                                                          498.656,87 EUR</w:t>
      </w:r>
    </w:p>
    <w:p w14:paraId="20CF9CC4" w14:textId="77777777" w:rsidR="00422385" w:rsidRDefault="00000000" w:rsidP="00F20266">
      <w:pPr>
        <w:jc w:val="both"/>
      </w:pPr>
      <w:r>
        <w:t>            - materijalni rashodi (32)                                                           3.262.759,45 EUR</w:t>
      </w:r>
    </w:p>
    <w:p w14:paraId="57BDCB57" w14:textId="77777777" w:rsidR="00422385" w:rsidRDefault="00000000" w:rsidP="00F20266">
      <w:pPr>
        <w:jc w:val="both"/>
      </w:pPr>
      <w:r>
        <w:t>            - financijski rashodi (34)                                                                 22.165,27 EUR</w:t>
      </w:r>
    </w:p>
    <w:p w14:paraId="272EB507" w14:textId="77777777" w:rsidR="00422385" w:rsidRDefault="00000000" w:rsidP="00F20266">
      <w:pPr>
        <w:jc w:val="both"/>
      </w:pPr>
      <w:r>
        <w:t>            - subvencije trgovačkim društvima (35)                                       256.017,55 EUR</w:t>
      </w:r>
    </w:p>
    <w:p w14:paraId="45E3A103" w14:textId="77777777" w:rsidR="00422385" w:rsidRDefault="00000000" w:rsidP="00F20266">
      <w:pPr>
        <w:jc w:val="both"/>
      </w:pPr>
      <w:r>
        <w:t>            - pomoći dane u inozemstvo i unutar općeg proračuna (36)   1.064.830,51 EUR</w:t>
      </w:r>
    </w:p>
    <w:p w14:paraId="48A4D744" w14:textId="77777777" w:rsidR="00422385" w:rsidRDefault="00000000" w:rsidP="00F20266">
      <w:pPr>
        <w:jc w:val="both"/>
      </w:pPr>
      <w:r>
        <w:t>            - naknade građanima i kućanstvima (37)                                     279.730,92 EUR</w:t>
      </w:r>
    </w:p>
    <w:p w14:paraId="76E32A1C" w14:textId="77777777" w:rsidR="00422385" w:rsidRDefault="00000000" w:rsidP="00F20266">
      <w:pPr>
        <w:jc w:val="both"/>
      </w:pPr>
      <w:r>
        <w:t>            - ostali rashodi (38)                                                                      505.634,49 EUR.</w:t>
      </w:r>
    </w:p>
    <w:p w14:paraId="03D36F48" w14:textId="77777777" w:rsidR="00422385" w:rsidRDefault="00422385" w:rsidP="00F20266">
      <w:pPr>
        <w:jc w:val="both"/>
      </w:pPr>
    </w:p>
    <w:p w14:paraId="6160E16A" w14:textId="77777777" w:rsidR="00422385" w:rsidRDefault="00000000" w:rsidP="00F20266">
      <w:pPr>
        <w:keepNext/>
        <w:spacing w:line="240" w:lineRule="auto"/>
        <w:jc w:val="both"/>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28005737" w14:textId="77777777">
        <w:trPr>
          <w:cantSplit/>
        </w:trPr>
        <w:tc>
          <w:tcPr>
            <w:tcW w:w="700" w:type="dxa"/>
            <w:shd w:val="clear" w:color="auto" w:fill="E7F0F9"/>
            <w:tcMar>
              <w:top w:w="0" w:type="dxa"/>
              <w:bottom w:w="0" w:type="dxa"/>
            </w:tcMar>
            <w:vAlign w:val="center"/>
          </w:tcPr>
          <w:p w14:paraId="5CB48B8E"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5A9D95"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05C0C2F"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64C439C"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66CA9E06"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061D2AD1" w14:textId="77777777" w:rsidR="00422385" w:rsidRDefault="00000000" w:rsidP="00F20266">
            <w:pPr>
              <w:keepNext/>
              <w:keepLines/>
              <w:spacing w:after="0" w:line="240" w:lineRule="auto"/>
              <w:jc w:val="both"/>
            </w:pPr>
            <w:r>
              <w:rPr>
                <w:b/>
                <w:sz w:val="18"/>
              </w:rPr>
              <w:t>Indeks (%)</w:t>
            </w:r>
          </w:p>
        </w:tc>
      </w:tr>
      <w:tr w:rsidR="00422385" w14:paraId="486A58A1" w14:textId="77777777">
        <w:trPr>
          <w:cantSplit/>
          <w:trHeight w:val="560"/>
        </w:trPr>
        <w:tc>
          <w:tcPr>
            <w:tcW w:w="700" w:type="dxa"/>
            <w:tcMar>
              <w:top w:w="0" w:type="dxa"/>
              <w:bottom w:w="0" w:type="dxa"/>
            </w:tcMar>
            <w:vAlign w:val="center"/>
          </w:tcPr>
          <w:p w14:paraId="301E90CE" w14:textId="77777777" w:rsidR="00422385" w:rsidRDefault="00000000" w:rsidP="00F20266">
            <w:pPr>
              <w:keepNext/>
              <w:keepLines/>
              <w:spacing w:after="0" w:line="240" w:lineRule="auto"/>
              <w:jc w:val="both"/>
            </w:pPr>
            <w:r>
              <w:rPr>
                <w:sz w:val="18"/>
              </w:rPr>
              <w:t>31</w:t>
            </w:r>
          </w:p>
        </w:tc>
        <w:tc>
          <w:tcPr>
            <w:tcW w:w="3180" w:type="dxa"/>
            <w:tcMar>
              <w:top w:w="0" w:type="dxa"/>
              <w:bottom w:w="0" w:type="dxa"/>
            </w:tcMar>
            <w:vAlign w:val="center"/>
          </w:tcPr>
          <w:p w14:paraId="1FA5EEAD" w14:textId="77777777" w:rsidR="00422385" w:rsidRDefault="00000000" w:rsidP="00F20266">
            <w:pPr>
              <w:keepNext/>
              <w:keepLines/>
              <w:spacing w:after="0" w:line="240" w:lineRule="auto"/>
              <w:jc w:val="both"/>
            </w:pPr>
            <w:r>
              <w:rPr>
                <w:sz w:val="18"/>
              </w:rPr>
              <w:t>Rashodi za zaposlene (šifre 311+312+313)</w:t>
            </w:r>
          </w:p>
        </w:tc>
        <w:tc>
          <w:tcPr>
            <w:tcW w:w="700" w:type="dxa"/>
            <w:tcMar>
              <w:top w:w="0" w:type="dxa"/>
              <w:bottom w:w="0" w:type="dxa"/>
            </w:tcMar>
            <w:vAlign w:val="center"/>
          </w:tcPr>
          <w:p w14:paraId="3BC23365" w14:textId="77777777" w:rsidR="00422385" w:rsidRDefault="00000000" w:rsidP="00F20266">
            <w:pPr>
              <w:keepNext/>
              <w:keepLines/>
              <w:spacing w:after="0" w:line="240" w:lineRule="auto"/>
              <w:jc w:val="both"/>
            </w:pPr>
            <w:r>
              <w:rPr>
                <w:sz w:val="18"/>
              </w:rPr>
              <w:t>31</w:t>
            </w:r>
          </w:p>
        </w:tc>
        <w:tc>
          <w:tcPr>
            <w:tcW w:w="1860" w:type="dxa"/>
            <w:tcMar>
              <w:top w:w="0" w:type="dxa"/>
              <w:bottom w:w="0" w:type="dxa"/>
            </w:tcMar>
            <w:vAlign w:val="center"/>
          </w:tcPr>
          <w:p w14:paraId="243A8DA6" w14:textId="77777777" w:rsidR="00422385" w:rsidRDefault="00000000" w:rsidP="00F20266">
            <w:pPr>
              <w:keepNext/>
              <w:keepLines/>
              <w:spacing w:after="0" w:line="240" w:lineRule="auto"/>
              <w:jc w:val="both"/>
            </w:pPr>
            <w:r>
              <w:rPr>
                <w:sz w:val="18"/>
              </w:rPr>
              <w:t>376.502,19</w:t>
            </w:r>
          </w:p>
        </w:tc>
        <w:tc>
          <w:tcPr>
            <w:tcW w:w="1860" w:type="dxa"/>
            <w:tcMar>
              <w:top w:w="0" w:type="dxa"/>
              <w:bottom w:w="0" w:type="dxa"/>
            </w:tcMar>
            <w:vAlign w:val="center"/>
          </w:tcPr>
          <w:p w14:paraId="7558D89E" w14:textId="77777777" w:rsidR="00422385" w:rsidRDefault="00000000" w:rsidP="00F20266">
            <w:pPr>
              <w:keepNext/>
              <w:keepLines/>
              <w:spacing w:after="0" w:line="240" w:lineRule="auto"/>
              <w:jc w:val="both"/>
            </w:pPr>
            <w:r>
              <w:rPr>
                <w:sz w:val="18"/>
              </w:rPr>
              <w:t>498.656,87</w:t>
            </w:r>
          </w:p>
        </w:tc>
        <w:tc>
          <w:tcPr>
            <w:tcW w:w="700" w:type="dxa"/>
            <w:tcMar>
              <w:top w:w="0" w:type="dxa"/>
              <w:bottom w:w="0" w:type="dxa"/>
            </w:tcMar>
            <w:vAlign w:val="center"/>
          </w:tcPr>
          <w:p w14:paraId="6C7B11E4" w14:textId="77777777" w:rsidR="00422385" w:rsidRDefault="00000000" w:rsidP="00F20266">
            <w:pPr>
              <w:keepNext/>
              <w:keepLines/>
              <w:spacing w:after="0" w:line="240" w:lineRule="auto"/>
              <w:jc w:val="both"/>
            </w:pPr>
            <w:r>
              <w:rPr>
                <w:sz w:val="18"/>
              </w:rPr>
              <w:t>132,4</w:t>
            </w:r>
          </w:p>
        </w:tc>
      </w:tr>
    </w:tbl>
    <w:p w14:paraId="32D6FB9F" w14:textId="77777777" w:rsidR="00422385" w:rsidRDefault="00422385" w:rsidP="00F20266">
      <w:pPr>
        <w:spacing w:after="0"/>
        <w:jc w:val="both"/>
      </w:pPr>
    </w:p>
    <w:p w14:paraId="7C7FC226" w14:textId="77777777" w:rsidR="00422385" w:rsidRDefault="00000000" w:rsidP="00F20266">
      <w:pPr>
        <w:jc w:val="both"/>
      </w:pPr>
      <w:r>
        <w:t>Rashodi za zaposlene (šifre 311+312+313) ostvareni su u iznosu od 498.656,87 EUR odnosno sa indeksom od 132,4 u odnosu na prošlu godinu. </w:t>
      </w:r>
    </w:p>
    <w:p w14:paraId="4C481F45" w14:textId="77777777" w:rsidR="00422385" w:rsidRDefault="00000000" w:rsidP="00F20266">
      <w:pPr>
        <w:jc w:val="both"/>
      </w:pPr>
      <w:r>
        <w:lastRenderedPageBreak/>
        <w:t>Razlog povećanja rashoda je povećanje osnovice za obračun plaće službenika JUO Općine, kao i povećanja osnovice za obračun plaće općinskom načelniku.</w:t>
      </w:r>
    </w:p>
    <w:p w14:paraId="05E47076" w14:textId="77777777" w:rsidR="00422385" w:rsidRDefault="00422385" w:rsidP="00F20266">
      <w:pPr>
        <w:jc w:val="both"/>
      </w:pPr>
    </w:p>
    <w:p w14:paraId="27BB22E7" w14:textId="77777777" w:rsidR="00422385" w:rsidRDefault="00000000" w:rsidP="00F20266">
      <w:pPr>
        <w:keepNext/>
        <w:spacing w:line="240" w:lineRule="auto"/>
        <w:jc w:val="both"/>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677A1EA1" w14:textId="77777777">
        <w:trPr>
          <w:cantSplit/>
        </w:trPr>
        <w:tc>
          <w:tcPr>
            <w:tcW w:w="700" w:type="dxa"/>
            <w:shd w:val="clear" w:color="auto" w:fill="E7F0F9"/>
            <w:tcMar>
              <w:top w:w="0" w:type="dxa"/>
              <w:bottom w:w="0" w:type="dxa"/>
            </w:tcMar>
            <w:vAlign w:val="center"/>
          </w:tcPr>
          <w:p w14:paraId="5136CF0F"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B255CE"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A929421"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4499D17"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71C52CC"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4A134F9" w14:textId="77777777" w:rsidR="00422385" w:rsidRDefault="00000000" w:rsidP="00F20266">
            <w:pPr>
              <w:keepNext/>
              <w:keepLines/>
              <w:spacing w:after="0" w:line="240" w:lineRule="auto"/>
              <w:jc w:val="both"/>
            </w:pPr>
            <w:r>
              <w:rPr>
                <w:b/>
                <w:sz w:val="18"/>
              </w:rPr>
              <w:t>Indeks (%)</w:t>
            </w:r>
          </w:p>
        </w:tc>
      </w:tr>
      <w:tr w:rsidR="00422385" w14:paraId="39CDAEFA" w14:textId="77777777">
        <w:trPr>
          <w:cantSplit/>
          <w:trHeight w:val="560"/>
        </w:trPr>
        <w:tc>
          <w:tcPr>
            <w:tcW w:w="700" w:type="dxa"/>
            <w:tcMar>
              <w:top w:w="0" w:type="dxa"/>
              <w:bottom w:w="0" w:type="dxa"/>
            </w:tcMar>
            <w:vAlign w:val="center"/>
          </w:tcPr>
          <w:p w14:paraId="52F5EF2A" w14:textId="77777777" w:rsidR="00422385" w:rsidRDefault="00000000" w:rsidP="00F20266">
            <w:pPr>
              <w:keepNext/>
              <w:keepLines/>
              <w:spacing w:after="0" w:line="240" w:lineRule="auto"/>
              <w:jc w:val="both"/>
            </w:pPr>
            <w:r>
              <w:rPr>
                <w:sz w:val="18"/>
              </w:rPr>
              <w:t>3232</w:t>
            </w:r>
          </w:p>
        </w:tc>
        <w:tc>
          <w:tcPr>
            <w:tcW w:w="3180" w:type="dxa"/>
            <w:tcMar>
              <w:top w:w="0" w:type="dxa"/>
              <w:bottom w:w="0" w:type="dxa"/>
            </w:tcMar>
            <w:vAlign w:val="center"/>
          </w:tcPr>
          <w:p w14:paraId="3FE4EE95" w14:textId="77777777" w:rsidR="00422385" w:rsidRDefault="00000000" w:rsidP="00F20266">
            <w:pPr>
              <w:keepNext/>
              <w:keepLines/>
              <w:spacing w:after="0" w:line="240" w:lineRule="auto"/>
              <w:jc w:val="both"/>
            </w:pPr>
            <w:r>
              <w:rPr>
                <w:sz w:val="18"/>
              </w:rPr>
              <w:t>Usluge tekućeg i investicijskog održavanja</w:t>
            </w:r>
          </w:p>
        </w:tc>
        <w:tc>
          <w:tcPr>
            <w:tcW w:w="700" w:type="dxa"/>
            <w:tcMar>
              <w:top w:w="0" w:type="dxa"/>
              <w:bottom w:w="0" w:type="dxa"/>
            </w:tcMar>
            <w:vAlign w:val="center"/>
          </w:tcPr>
          <w:p w14:paraId="4CA1992E" w14:textId="77777777" w:rsidR="00422385" w:rsidRDefault="00000000" w:rsidP="00F20266">
            <w:pPr>
              <w:keepNext/>
              <w:keepLines/>
              <w:spacing w:after="0" w:line="240" w:lineRule="auto"/>
              <w:jc w:val="both"/>
            </w:pPr>
            <w:r>
              <w:rPr>
                <w:sz w:val="18"/>
              </w:rPr>
              <w:t>3232</w:t>
            </w:r>
          </w:p>
        </w:tc>
        <w:tc>
          <w:tcPr>
            <w:tcW w:w="1860" w:type="dxa"/>
            <w:tcMar>
              <w:top w:w="0" w:type="dxa"/>
              <w:bottom w:w="0" w:type="dxa"/>
            </w:tcMar>
            <w:vAlign w:val="center"/>
          </w:tcPr>
          <w:p w14:paraId="6E7E4563" w14:textId="77777777" w:rsidR="00422385" w:rsidRDefault="00000000" w:rsidP="00F20266">
            <w:pPr>
              <w:keepNext/>
              <w:keepLines/>
              <w:spacing w:after="0" w:line="240" w:lineRule="auto"/>
              <w:jc w:val="both"/>
            </w:pPr>
            <w:r>
              <w:rPr>
                <w:sz w:val="18"/>
              </w:rPr>
              <w:t>1.281.904,13</w:t>
            </w:r>
          </w:p>
        </w:tc>
        <w:tc>
          <w:tcPr>
            <w:tcW w:w="1860" w:type="dxa"/>
            <w:tcMar>
              <w:top w:w="0" w:type="dxa"/>
              <w:bottom w:w="0" w:type="dxa"/>
            </w:tcMar>
            <w:vAlign w:val="center"/>
          </w:tcPr>
          <w:p w14:paraId="7D38D255" w14:textId="77777777" w:rsidR="00422385" w:rsidRDefault="00000000" w:rsidP="00F20266">
            <w:pPr>
              <w:keepNext/>
              <w:keepLines/>
              <w:spacing w:after="0" w:line="240" w:lineRule="auto"/>
              <w:jc w:val="both"/>
            </w:pPr>
            <w:r>
              <w:rPr>
                <w:sz w:val="18"/>
              </w:rPr>
              <w:t>1.659.827,43</w:t>
            </w:r>
          </w:p>
        </w:tc>
        <w:tc>
          <w:tcPr>
            <w:tcW w:w="700" w:type="dxa"/>
            <w:tcMar>
              <w:top w:w="0" w:type="dxa"/>
              <w:bottom w:w="0" w:type="dxa"/>
            </w:tcMar>
            <w:vAlign w:val="center"/>
          </w:tcPr>
          <w:p w14:paraId="07EA1253" w14:textId="77777777" w:rsidR="00422385" w:rsidRDefault="00000000" w:rsidP="00F20266">
            <w:pPr>
              <w:keepNext/>
              <w:keepLines/>
              <w:spacing w:after="0" w:line="240" w:lineRule="auto"/>
              <w:jc w:val="both"/>
            </w:pPr>
            <w:r>
              <w:rPr>
                <w:sz w:val="18"/>
              </w:rPr>
              <w:t>129,5</w:t>
            </w:r>
          </w:p>
        </w:tc>
      </w:tr>
    </w:tbl>
    <w:p w14:paraId="22BE88D6" w14:textId="77777777" w:rsidR="00422385" w:rsidRDefault="00422385" w:rsidP="00F20266">
      <w:pPr>
        <w:spacing w:after="0"/>
        <w:jc w:val="both"/>
      </w:pPr>
    </w:p>
    <w:p w14:paraId="02942F52" w14:textId="77777777" w:rsidR="00422385" w:rsidRDefault="00000000" w:rsidP="00F20266">
      <w:pPr>
        <w:jc w:val="both"/>
      </w:pPr>
      <w:r>
        <w:t>Rashodi za usluge tekućeg i investicijskog održavanja ostvareni su u iznosu od 1.659.827,43 EUR odnosno sa 29,5% više u odnosu na prethodnu godinu.</w:t>
      </w:r>
    </w:p>
    <w:p w14:paraId="09E80B66" w14:textId="77777777" w:rsidR="00422385" w:rsidRDefault="00000000" w:rsidP="00F20266">
      <w:pPr>
        <w:jc w:val="both"/>
      </w:pPr>
      <w:r>
        <w:t>Razlog povećanja rashoda je povećanje cijene usluga za tekuće i investicijsko održavanje.</w:t>
      </w:r>
      <w:r>
        <w:br/>
        <w:t> </w:t>
      </w:r>
      <w:r>
        <w:br/>
        <w:t> </w:t>
      </w:r>
    </w:p>
    <w:p w14:paraId="2609FAC9" w14:textId="77777777" w:rsidR="00422385" w:rsidRDefault="00422385" w:rsidP="00F20266">
      <w:pPr>
        <w:jc w:val="both"/>
      </w:pPr>
    </w:p>
    <w:p w14:paraId="67E6BA5D" w14:textId="77777777" w:rsidR="00422385" w:rsidRDefault="00000000" w:rsidP="00F20266">
      <w:pPr>
        <w:keepNext/>
        <w:spacing w:line="240" w:lineRule="auto"/>
        <w:jc w:val="both"/>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3B33DE3A" w14:textId="77777777">
        <w:trPr>
          <w:cantSplit/>
        </w:trPr>
        <w:tc>
          <w:tcPr>
            <w:tcW w:w="700" w:type="dxa"/>
            <w:shd w:val="clear" w:color="auto" w:fill="E7F0F9"/>
            <w:tcMar>
              <w:top w:w="0" w:type="dxa"/>
              <w:bottom w:w="0" w:type="dxa"/>
            </w:tcMar>
            <w:vAlign w:val="center"/>
          </w:tcPr>
          <w:p w14:paraId="19886C13"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A6CE73"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74AD870"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D5DFF2E"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A134DEC"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21A111C8" w14:textId="77777777" w:rsidR="00422385" w:rsidRDefault="00000000" w:rsidP="00F20266">
            <w:pPr>
              <w:keepNext/>
              <w:keepLines/>
              <w:spacing w:after="0" w:line="240" w:lineRule="auto"/>
              <w:jc w:val="both"/>
            </w:pPr>
            <w:r>
              <w:rPr>
                <w:b/>
                <w:sz w:val="18"/>
              </w:rPr>
              <w:t>Indeks (%)</w:t>
            </w:r>
          </w:p>
        </w:tc>
      </w:tr>
      <w:tr w:rsidR="00422385" w14:paraId="16A5B3BB" w14:textId="77777777">
        <w:trPr>
          <w:cantSplit/>
          <w:trHeight w:val="560"/>
        </w:trPr>
        <w:tc>
          <w:tcPr>
            <w:tcW w:w="700" w:type="dxa"/>
            <w:tcMar>
              <w:top w:w="0" w:type="dxa"/>
              <w:bottom w:w="0" w:type="dxa"/>
            </w:tcMar>
            <w:vAlign w:val="center"/>
          </w:tcPr>
          <w:p w14:paraId="4FE1363B" w14:textId="77777777" w:rsidR="00422385" w:rsidRDefault="00000000" w:rsidP="00F20266">
            <w:pPr>
              <w:keepNext/>
              <w:keepLines/>
              <w:spacing w:after="0" w:line="240" w:lineRule="auto"/>
              <w:jc w:val="both"/>
            </w:pPr>
            <w:r>
              <w:rPr>
                <w:sz w:val="18"/>
              </w:rPr>
              <w:t>3236</w:t>
            </w:r>
          </w:p>
        </w:tc>
        <w:tc>
          <w:tcPr>
            <w:tcW w:w="3180" w:type="dxa"/>
            <w:tcMar>
              <w:top w:w="0" w:type="dxa"/>
              <w:bottom w:w="0" w:type="dxa"/>
            </w:tcMar>
            <w:vAlign w:val="center"/>
          </w:tcPr>
          <w:p w14:paraId="0DEA4323" w14:textId="77777777" w:rsidR="00422385" w:rsidRDefault="00000000" w:rsidP="00F20266">
            <w:pPr>
              <w:keepNext/>
              <w:keepLines/>
              <w:spacing w:after="0" w:line="240" w:lineRule="auto"/>
              <w:jc w:val="both"/>
            </w:pPr>
            <w:r>
              <w:rPr>
                <w:sz w:val="18"/>
              </w:rPr>
              <w:t>Zdravstvene i veterinarske usluge</w:t>
            </w:r>
          </w:p>
        </w:tc>
        <w:tc>
          <w:tcPr>
            <w:tcW w:w="700" w:type="dxa"/>
            <w:tcMar>
              <w:top w:w="0" w:type="dxa"/>
              <w:bottom w:w="0" w:type="dxa"/>
            </w:tcMar>
            <w:vAlign w:val="center"/>
          </w:tcPr>
          <w:p w14:paraId="6F1E570D" w14:textId="77777777" w:rsidR="00422385" w:rsidRDefault="00000000" w:rsidP="00F20266">
            <w:pPr>
              <w:keepNext/>
              <w:keepLines/>
              <w:spacing w:after="0" w:line="240" w:lineRule="auto"/>
              <w:jc w:val="both"/>
            </w:pPr>
            <w:r>
              <w:rPr>
                <w:sz w:val="18"/>
              </w:rPr>
              <w:t>3236</w:t>
            </w:r>
          </w:p>
        </w:tc>
        <w:tc>
          <w:tcPr>
            <w:tcW w:w="1860" w:type="dxa"/>
            <w:tcMar>
              <w:top w:w="0" w:type="dxa"/>
              <w:bottom w:w="0" w:type="dxa"/>
            </w:tcMar>
            <w:vAlign w:val="center"/>
          </w:tcPr>
          <w:p w14:paraId="79FE768B" w14:textId="77777777" w:rsidR="00422385" w:rsidRDefault="00000000" w:rsidP="00F20266">
            <w:pPr>
              <w:keepNext/>
              <w:keepLines/>
              <w:spacing w:after="0" w:line="240" w:lineRule="auto"/>
              <w:jc w:val="both"/>
            </w:pPr>
            <w:r>
              <w:rPr>
                <w:sz w:val="18"/>
              </w:rPr>
              <w:t>19.952,46</w:t>
            </w:r>
          </w:p>
        </w:tc>
        <w:tc>
          <w:tcPr>
            <w:tcW w:w="1860" w:type="dxa"/>
            <w:tcMar>
              <w:top w:w="0" w:type="dxa"/>
              <w:bottom w:w="0" w:type="dxa"/>
            </w:tcMar>
            <w:vAlign w:val="center"/>
          </w:tcPr>
          <w:p w14:paraId="3216B732" w14:textId="77777777" w:rsidR="00422385" w:rsidRDefault="00000000" w:rsidP="00F20266">
            <w:pPr>
              <w:keepNext/>
              <w:keepLines/>
              <w:spacing w:after="0" w:line="240" w:lineRule="auto"/>
              <w:jc w:val="both"/>
            </w:pPr>
            <w:r>
              <w:rPr>
                <w:sz w:val="18"/>
              </w:rPr>
              <w:t>35.564,48</w:t>
            </w:r>
          </w:p>
        </w:tc>
        <w:tc>
          <w:tcPr>
            <w:tcW w:w="700" w:type="dxa"/>
            <w:tcMar>
              <w:top w:w="0" w:type="dxa"/>
              <w:bottom w:w="0" w:type="dxa"/>
            </w:tcMar>
            <w:vAlign w:val="center"/>
          </w:tcPr>
          <w:p w14:paraId="2C7EC704" w14:textId="77777777" w:rsidR="00422385" w:rsidRDefault="00000000" w:rsidP="00F20266">
            <w:pPr>
              <w:keepNext/>
              <w:keepLines/>
              <w:spacing w:after="0" w:line="240" w:lineRule="auto"/>
              <w:jc w:val="both"/>
            </w:pPr>
            <w:r>
              <w:rPr>
                <w:sz w:val="18"/>
              </w:rPr>
              <w:t>178,2</w:t>
            </w:r>
          </w:p>
        </w:tc>
      </w:tr>
    </w:tbl>
    <w:p w14:paraId="6DECC727" w14:textId="77777777" w:rsidR="00422385" w:rsidRDefault="00422385" w:rsidP="00F20266">
      <w:pPr>
        <w:spacing w:after="0"/>
        <w:jc w:val="both"/>
      </w:pPr>
    </w:p>
    <w:p w14:paraId="2FA1022E" w14:textId="77777777" w:rsidR="00422385" w:rsidRDefault="00000000" w:rsidP="00F20266">
      <w:pPr>
        <w:jc w:val="both"/>
      </w:pPr>
      <w:r>
        <w:t>Rashodi za zdravstvene i veterinarske usluge realizirani su u iznosu od 35.564,48 EUR odnosno sa 78% više od prethodne godine.</w:t>
      </w:r>
    </w:p>
    <w:p w14:paraId="4EDD5E79" w14:textId="66539917" w:rsidR="00422385" w:rsidRDefault="00000000" w:rsidP="00F20266">
      <w:pPr>
        <w:jc w:val="both"/>
      </w:pPr>
      <w:r>
        <w:t>Razlog povećanju ovih rashoda je ugovaranje nove usluge sa Gradom Pulom oko zbrinjavanja životinja, te povećani broj intervencija od strane vet</w:t>
      </w:r>
      <w:r w:rsidR="002C76EC">
        <w:t>e</w:t>
      </w:r>
      <w:r>
        <w:t>rinarske stanice u Puli i Nastavnog zavoda za zdravstvo tijekom 2025. godine.</w:t>
      </w:r>
    </w:p>
    <w:p w14:paraId="1D7E37E7" w14:textId="77777777" w:rsidR="00422385" w:rsidRDefault="00422385" w:rsidP="00F20266">
      <w:pPr>
        <w:jc w:val="both"/>
      </w:pPr>
    </w:p>
    <w:p w14:paraId="0E335AA2" w14:textId="77777777" w:rsidR="00422385" w:rsidRDefault="00000000" w:rsidP="00F20266">
      <w:pPr>
        <w:keepNext/>
        <w:spacing w:line="240" w:lineRule="auto"/>
        <w:jc w:val="both"/>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6DDAF427" w14:textId="77777777">
        <w:trPr>
          <w:cantSplit/>
        </w:trPr>
        <w:tc>
          <w:tcPr>
            <w:tcW w:w="700" w:type="dxa"/>
            <w:shd w:val="clear" w:color="auto" w:fill="E7F0F9"/>
            <w:tcMar>
              <w:top w:w="0" w:type="dxa"/>
              <w:bottom w:w="0" w:type="dxa"/>
            </w:tcMar>
            <w:vAlign w:val="center"/>
          </w:tcPr>
          <w:p w14:paraId="6328B7CA"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1FB067"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6BF2819"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E722843"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7C7F82BB"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42C72B75" w14:textId="77777777" w:rsidR="00422385" w:rsidRDefault="00000000" w:rsidP="00F20266">
            <w:pPr>
              <w:keepNext/>
              <w:keepLines/>
              <w:spacing w:after="0" w:line="240" w:lineRule="auto"/>
              <w:jc w:val="both"/>
            </w:pPr>
            <w:r>
              <w:rPr>
                <w:b/>
                <w:sz w:val="18"/>
              </w:rPr>
              <w:t>Indeks (%)</w:t>
            </w:r>
          </w:p>
        </w:tc>
      </w:tr>
      <w:tr w:rsidR="00422385" w14:paraId="2C5714F9" w14:textId="77777777">
        <w:trPr>
          <w:cantSplit/>
          <w:trHeight w:val="560"/>
        </w:trPr>
        <w:tc>
          <w:tcPr>
            <w:tcW w:w="700" w:type="dxa"/>
            <w:tcMar>
              <w:top w:w="0" w:type="dxa"/>
              <w:bottom w:w="0" w:type="dxa"/>
            </w:tcMar>
            <w:vAlign w:val="center"/>
          </w:tcPr>
          <w:p w14:paraId="03D57568" w14:textId="77777777" w:rsidR="00422385" w:rsidRDefault="00000000" w:rsidP="00F20266">
            <w:pPr>
              <w:keepNext/>
              <w:keepLines/>
              <w:spacing w:after="0" w:line="240" w:lineRule="auto"/>
              <w:jc w:val="both"/>
            </w:pPr>
            <w:r>
              <w:rPr>
                <w:sz w:val="18"/>
              </w:rPr>
              <w:t>3291</w:t>
            </w:r>
          </w:p>
        </w:tc>
        <w:tc>
          <w:tcPr>
            <w:tcW w:w="3180" w:type="dxa"/>
            <w:tcMar>
              <w:top w:w="0" w:type="dxa"/>
              <w:bottom w:w="0" w:type="dxa"/>
            </w:tcMar>
            <w:vAlign w:val="center"/>
          </w:tcPr>
          <w:p w14:paraId="2F05C65D" w14:textId="77777777" w:rsidR="00422385" w:rsidRDefault="00000000" w:rsidP="00F20266">
            <w:pPr>
              <w:keepNext/>
              <w:keepLines/>
              <w:spacing w:after="0" w:line="240" w:lineRule="auto"/>
              <w:jc w:val="both"/>
            </w:pPr>
            <w:r>
              <w:rPr>
                <w:sz w:val="18"/>
              </w:rPr>
              <w:t>Naknade za rad predstavničkih i izvršnih tijela, povjerenstava i slično</w:t>
            </w:r>
          </w:p>
        </w:tc>
        <w:tc>
          <w:tcPr>
            <w:tcW w:w="700" w:type="dxa"/>
            <w:tcMar>
              <w:top w:w="0" w:type="dxa"/>
              <w:bottom w:w="0" w:type="dxa"/>
            </w:tcMar>
            <w:vAlign w:val="center"/>
          </w:tcPr>
          <w:p w14:paraId="0B979E60" w14:textId="77777777" w:rsidR="00422385" w:rsidRDefault="00000000" w:rsidP="00F20266">
            <w:pPr>
              <w:keepNext/>
              <w:keepLines/>
              <w:spacing w:after="0" w:line="240" w:lineRule="auto"/>
              <w:jc w:val="both"/>
            </w:pPr>
            <w:r>
              <w:rPr>
                <w:sz w:val="18"/>
              </w:rPr>
              <w:t>3291</w:t>
            </w:r>
          </w:p>
        </w:tc>
        <w:tc>
          <w:tcPr>
            <w:tcW w:w="1860" w:type="dxa"/>
            <w:tcMar>
              <w:top w:w="0" w:type="dxa"/>
              <w:bottom w:w="0" w:type="dxa"/>
            </w:tcMar>
            <w:vAlign w:val="center"/>
          </w:tcPr>
          <w:p w14:paraId="52A39261" w14:textId="77777777" w:rsidR="00422385" w:rsidRDefault="00000000" w:rsidP="00F20266">
            <w:pPr>
              <w:keepNext/>
              <w:keepLines/>
              <w:spacing w:after="0" w:line="240" w:lineRule="auto"/>
              <w:jc w:val="both"/>
            </w:pPr>
            <w:r>
              <w:rPr>
                <w:sz w:val="18"/>
              </w:rPr>
              <w:t>29.106,34</w:t>
            </w:r>
          </w:p>
        </w:tc>
        <w:tc>
          <w:tcPr>
            <w:tcW w:w="1860" w:type="dxa"/>
            <w:tcMar>
              <w:top w:w="0" w:type="dxa"/>
              <w:bottom w:w="0" w:type="dxa"/>
            </w:tcMar>
            <w:vAlign w:val="center"/>
          </w:tcPr>
          <w:p w14:paraId="68337458" w14:textId="77777777" w:rsidR="00422385" w:rsidRDefault="00000000" w:rsidP="00F20266">
            <w:pPr>
              <w:keepNext/>
              <w:keepLines/>
              <w:spacing w:after="0" w:line="240" w:lineRule="auto"/>
              <w:jc w:val="both"/>
            </w:pPr>
            <w:r>
              <w:rPr>
                <w:sz w:val="18"/>
              </w:rPr>
              <w:t>63.704,77</w:t>
            </w:r>
          </w:p>
        </w:tc>
        <w:tc>
          <w:tcPr>
            <w:tcW w:w="700" w:type="dxa"/>
            <w:tcMar>
              <w:top w:w="0" w:type="dxa"/>
              <w:bottom w:w="0" w:type="dxa"/>
            </w:tcMar>
            <w:vAlign w:val="center"/>
          </w:tcPr>
          <w:p w14:paraId="19033D65" w14:textId="77777777" w:rsidR="00422385" w:rsidRDefault="00000000" w:rsidP="00F20266">
            <w:pPr>
              <w:keepNext/>
              <w:keepLines/>
              <w:spacing w:after="0" w:line="240" w:lineRule="auto"/>
              <w:jc w:val="both"/>
            </w:pPr>
            <w:r>
              <w:rPr>
                <w:sz w:val="18"/>
              </w:rPr>
              <w:t>218,9</w:t>
            </w:r>
          </w:p>
        </w:tc>
      </w:tr>
    </w:tbl>
    <w:p w14:paraId="23CC60A9" w14:textId="77777777" w:rsidR="00422385" w:rsidRDefault="00422385" w:rsidP="00F20266">
      <w:pPr>
        <w:spacing w:after="0"/>
        <w:jc w:val="both"/>
      </w:pPr>
    </w:p>
    <w:p w14:paraId="72A502D1" w14:textId="77777777" w:rsidR="00422385" w:rsidRDefault="00000000" w:rsidP="00F20266">
      <w:pPr>
        <w:jc w:val="both"/>
      </w:pPr>
      <w:r>
        <w:t xml:space="preserve">Naknade za rad predstavničkih i izvršnih tijela, povjerenstava i dr. ostvarene su u iznosu od 63.704,77 EUR odnosno sa 118,9% više u odnosu na 2024. godinu. Povećani su rashodi za naknade zbog održavanja lokalnih izbora u Fažani, te povećanog broja održanih sjednica odbora i </w:t>
      </w:r>
      <w:proofErr w:type="spellStart"/>
      <w:r>
        <w:t>koordinatora,te</w:t>
      </w:r>
      <w:proofErr w:type="spellEnd"/>
      <w:r>
        <w:t xml:space="preserve"> sjednica općinskog vijeća tijekom 2025. godine.</w:t>
      </w:r>
    </w:p>
    <w:p w14:paraId="3F69FA72" w14:textId="77777777" w:rsidR="00422385" w:rsidRDefault="00000000" w:rsidP="00F20266">
      <w:pPr>
        <w:jc w:val="both"/>
      </w:pPr>
      <w:r>
        <w:t> </w:t>
      </w:r>
    </w:p>
    <w:p w14:paraId="5FB9BE41" w14:textId="77777777" w:rsidR="00422385" w:rsidRDefault="00422385" w:rsidP="00F20266">
      <w:pPr>
        <w:jc w:val="both"/>
      </w:pPr>
    </w:p>
    <w:p w14:paraId="73C4B175" w14:textId="77777777" w:rsidR="00422385" w:rsidRDefault="00000000" w:rsidP="00F20266">
      <w:pPr>
        <w:keepNext/>
        <w:spacing w:line="240" w:lineRule="auto"/>
        <w:jc w:val="both"/>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6567815F" w14:textId="77777777">
        <w:trPr>
          <w:cantSplit/>
        </w:trPr>
        <w:tc>
          <w:tcPr>
            <w:tcW w:w="700" w:type="dxa"/>
            <w:shd w:val="clear" w:color="auto" w:fill="E7F0F9"/>
            <w:tcMar>
              <w:top w:w="0" w:type="dxa"/>
              <w:bottom w:w="0" w:type="dxa"/>
            </w:tcMar>
            <w:vAlign w:val="center"/>
          </w:tcPr>
          <w:p w14:paraId="5BD8BA48"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6F41D6"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B3D74E0"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FB98FD0"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6CCF019E"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5C7DE92E" w14:textId="77777777" w:rsidR="00422385" w:rsidRDefault="00000000" w:rsidP="00F20266">
            <w:pPr>
              <w:keepNext/>
              <w:keepLines/>
              <w:spacing w:after="0" w:line="240" w:lineRule="auto"/>
              <w:jc w:val="both"/>
            </w:pPr>
            <w:r>
              <w:rPr>
                <w:b/>
                <w:sz w:val="18"/>
              </w:rPr>
              <w:t>Indeks (%)</w:t>
            </w:r>
          </w:p>
        </w:tc>
      </w:tr>
      <w:tr w:rsidR="00422385" w14:paraId="2102B25F" w14:textId="77777777">
        <w:trPr>
          <w:cantSplit/>
          <w:trHeight w:val="560"/>
        </w:trPr>
        <w:tc>
          <w:tcPr>
            <w:tcW w:w="700" w:type="dxa"/>
            <w:tcMar>
              <w:top w:w="0" w:type="dxa"/>
              <w:bottom w:w="0" w:type="dxa"/>
            </w:tcMar>
            <w:vAlign w:val="center"/>
          </w:tcPr>
          <w:p w14:paraId="4EDAF66C" w14:textId="77777777" w:rsidR="00422385" w:rsidRDefault="00000000" w:rsidP="00F20266">
            <w:pPr>
              <w:keepNext/>
              <w:keepLines/>
              <w:spacing w:after="0" w:line="240" w:lineRule="auto"/>
              <w:jc w:val="both"/>
            </w:pPr>
            <w:r>
              <w:rPr>
                <w:sz w:val="18"/>
              </w:rPr>
              <w:t>3295</w:t>
            </w:r>
          </w:p>
        </w:tc>
        <w:tc>
          <w:tcPr>
            <w:tcW w:w="3180" w:type="dxa"/>
            <w:tcMar>
              <w:top w:w="0" w:type="dxa"/>
              <w:bottom w:w="0" w:type="dxa"/>
            </w:tcMar>
            <w:vAlign w:val="center"/>
          </w:tcPr>
          <w:p w14:paraId="412C7011" w14:textId="77777777" w:rsidR="00422385" w:rsidRDefault="00000000" w:rsidP="00F20266">
            <w:pPr>
              <w:keepNext/>
              <w:keepLines/>
              <w:spacing w:after="0" w:line="240" w:lineRule="auto"/>
              <w:jc w:val="both"/>
            </w:pPr>
            <w:r>
              <w:rPr>
                <w:sz w:val="18"/>
              </w:rPr>
              <w:t>Pristojbe i naknade</w:t>
            </w:r>
          </w:p>
        </w:tc>
        <w:tc>
          <w:tcPr>
            <w:tcW w:w="700" w:type="dxa"/>
            <w:tcMar>
              <w:top w:w="0" w:type="dxa"/>
              <w:bottom w:w="0" w:type="dxa"/>
            </w:tcMar>
            <w:vAlign w:val="center"/>
          </w:tcPr>
          <w:p w14:paraId="60D4060E" w14:textId="77777777" w:rsidR="00422385" w:rsidRDefault="00000000" w:rsidP="00F20266">
            <w:pPr>
              <w:keepNext/>
              <w:keepLines/>
              <w:spacing w:after="0" w:line="240" w:lineRule="auto"/>
              <w:jc w:val="both"/>
            </w:pPr>
            <w:r>
              <w:rPr>
                <w:sz w:val="18"/>
              </w:rPr>
              <w:t>3295</w:t>
            </w:r>
          </w:p>
        </w:tc>
        <w:tc>
          <w:tcPr>
            <w:tcW w:w="1860" w:type="dxa"/>
            <w:tcMar>
              <w:top w:w="0" w:type="dxa"/>
              <w:bottom w:w="0" w:type="dxa"/>
            </w:tcMar>
            <w:vAlign w:val="center"/>
          </w:tcPr>
          <w:p w14:paraId="40F924AC" w14:textId="77777777" w:rsidR="00422385" w:rsidRDefault="00000000" w:rsidP="00F20266">
            <w:pPr>
              <w:keepNext/>
              <w:keepLines/>
              <w:spacing w:after="0" w:line="240" w:lineRule="auto"/>
              <w:jc w:val="both"/>
            </w:pPr>
            <w:r>
              <w:rPr>
                <w:sz w:val="18"/>
              </w:rPr>
              <w:t>11.044,16</w:t>
            </w:r>
          </w:p>
        </w:tc>
        <w:tc>
          <w:tcPr>
            <w:tcW w:w="1860" w:type="dxa"/>
            <w:tcMar>
              <w:top w:w="0" w:type="dxa"/>
              <w:bottom w:w="0" w:type="dxa"/>
            </w:tcMar>
            <w:vAlign w:val="center"/>
          </w:tcPr>
          <w:p w14:paraId="3100AF4E" w14:textId="77777777" w:rsidR="00422385" w:rsidRDefault="00000000" w:rsidP="00F20266">
            <w:pPr>
              <w:keepNext/>
              <w:keepLines/>
              <w:spacing w:after="0" w:line="240" w:lineRule="auto"/>
              <w:jc w:val="both"/>
            </w:pPr>
            <w:r>
              <w:rPr>
                <w:sz w:val="18"/>
              </w:rPr>
              <w:t>79.317,35</w:t>
            </w:r>
          </w:p>
        </w:tc>
        <w:tc>
          <w:tcPr>
            <w:tcW w:w="700" w:type="dxa"/>
            <w:tcMar>
              <w:top w:w="0" w:type="dxa"/>
              <w:bottom w:w="0" w:type="dxa"/>
            </w:tcMar>
            <w:vAlign w:val="center"/>
          </w:tcPr>
          <w:p w14:paraId="02520E7E" w14:textId="77777777" w:rsidR="00422385" w:rsidRDefault="00000000" w:rsidP="00F20266">
            <w:pPr>
              <w:keepNext/>
              <w:keepLines/>
              <w:spacing w:after="0" w:line="240" w:lineRule="auto"/>
              <w:jc w:val="both"/>
            </w:pPr>
            <w:r>
              <w:rPr>
                <w:sz w:val="18"/>
              </w:rPr>
              <w:t>718,2</w:t>
            </w:r>
          </w:p>
        </w:tc>
      </w:tr>
    </w:tbl>
    <w:p w14:paraId="7F819BA2" w14:textId="77777777" w:rsidR="00422385" w:rsidRDefault="00422385" w:rsidP="00F20266">
      <w:pPr>
        <w:spacing w:after="0"/>
        <w:jc w:val="both"/>
      </w:pPr>
    </w:p>
    <w:p w14:paraId="2A3CA4BE" w14:textId="77777777" w:rsidR="00422385" w:rsidRDefault="00000000" w:rsidP="00F20266">
      <w:pPr>
        <w:jc w:val="both"/>
      </w:pPr>
      <w:r>
        <w:t xml:space="preserve">Rashodi za Pristojbe i naknade ostvareni su u iznosu od 79.317,35 EUR, što predstavlja povećanje od 618%. Razlog povećanju navedenih rashoda je </w:t>
      </w:r>
      <w:proofErr w:type="spellStart"/>
      <w:r>
        <w:t>preknjiženje</w:t>
      </w:r>
      <w:proofErr w:type="spellEnd"/>
      <w:r>
        <w:t xml:space="preserve"> rashoda sa konta 3239 na ovaj konto rashoda 3295 (radi ispravnijeg knjiženja i slijeđenja Uputa za knjiženje iz okružnice Min. financija).</w:t>
      </w:r>
    </w:p>
    <w:p w14:paraId="7388CF7B" w14:textId="77777777" w:rsidR="00422385" w:rsidRDefault="00422385" w:rsidP="00F20266">
      <w:pPr>
        <w:jc w:val="both"/>
      </w:pPr>
    </w:p>
    <w:p w14:paraId="628CA64E" w14:textId="77777777" w:rsidR="00422385" w:rsidRDefault="00000000" w:rsidP="00F20266">
      <w:pPr>
        <w:keepNext/>
        <w:spacing w:line="240" w:lineRule="auto"/>
        <w:jc w:val="both"/>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64B4DCCC" w14:textId="77777777">
        <w:trPr>
          <w:cantSplit/>
        </w:trPr>
        <w:tc>
          <w:tcPr>
            <w:tcW w:w="700" w:type="dxa"/>
            <w:shd w:val="clear" w:color="auto" w:fill="E7F0F9"/>
            <w:tcMar>
              <w:top w:w="0" w:type="dxa"/>
              <w:bottom w:w="0" w:type="dxa"/>
            </w:tcMar>
            <w:vAlign w:val="center"/>
          </w:tcPr>
          <w:p w14:paraId="48D4EBA8"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616665"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2A20CC7"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DD11133"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88DA260"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C9B1656" w14:textId="77777777" w:rsidR="00422385" w:rsidRDefault="00000000" w:rsidP="00F20266">
            <w:pPr>
              <w:keepNext/>
              <w:keepLines/>
              <w:spacing w:after="0" w:line="240" w:lineRule="auto"/>
              <w:jc w:val="both"/>
            </w:pPr>
            <w:r>
              <w:rPr>
                <w:b/>
                <w:sz w:val="18"/>
              </w:rPr>
              <w:t>Indeks (%)</w:t>
            </w:r>
          </w:p>
        </w:tc>
      </w:tr>
      <w:tr w:rsidR="00422385" w14:paraId="36A1B8AE" w14:textId="77777777">
        <w:trPr>
          <w:cantSplit/>
          <w:trHeight w:val="560"/>
        </w:trPr>
        <w:tc>
          <w:tcPr>
            <w:tcW w:w="700" w:type="dxa"/>
            <w:tcMar>
              <w:top w:w="0" w:type="dxa"/>
              <w:bottom w:w="0" w:type="dxa"/>
            </w:tcMar>
            <w:vAlign w:val="center"/>
          </w:tcPr>
          <w:p w14:paraId="09876C2F" w14:textId="77777777" w:rsidR="00422385" w:rsidRDefault="00000000" w:rsidP="00F20266">
            <w:pPr>
              <w:keepNext/>
              <w:keepLines/>
              <w:spacing w:after="0" w:line="240" w:lineRule="auto"/>
              <w:jc w:val="both"/>
            </w:pPr>
            <w:r>
              <w:rPr>
                <w:sz w:val="18"/>
              </w:rPr>
              <w:t>3434</w:t>
            </w:r>
          </w:p>
        </w:tc>
        <w:tc>
          <w:tcPr>
            <w:tcW w:w="3180" w:type="dxa"/>
            <w:tcMar>
              <w:top w:w="0" w:type="dxa"/>
              <w:bottom w:w="0" w:type="dxa"/>
            </w:tcMar>
            <w:vAlign w:val="center"/>
          </w:tcPr>
          <w:p w14:paraId="2B4DF408" w14:textId="77777777" w:rsidR="00422385" w:rsidRDefault="00000000" w:rsidP="00F20266">
            <w:pPr>
              <w:keepNext/>
              <w:keepLines/>
              <w:spacing w:after="0" w:line="240" w:lineRule="auto"/>
              <w:jc w:val="both"/>
            </w:pPr>
            <w:r>
              <w:rPr>
                <w:sz w:val="18"/>
              </w:rPr>
              <w:t>Ostali nespomenuti financijski rashodi</w:t>
            </w:r>
          </w:p>
        </w:tc>
        <w:tc>
          <w:tcPr>
            <w:tcW w:w="700" w:type="dxa"/>
            <w:tcMar>
              <w:top w:w="0" w:type="dxa"/>
              <w:bottom w:w="0" w:type="dxa"/>
            </w:tcMar>
            <w:vAlign w:val="center"/>
          </w:tcPr>
          <w:p w14:paraId="6897B025" w14:textId="77777777" w:rsidR="00422385" w:rsidRDefault="00000000" w:rsidP="00F20266">
            <w:pPr>
              <w:keepNext/>
              <w:keepLines/>
              <w:spacing w:after="0" w:line="240" w:lineRule="auto"/>
              <w:jc w:val="both"/>
            </w:pPr>
            <w:r>
              <w:rPr>
                <w:sz w:val="18"/>
              </w:rPr>
              <w:t>3434</w:t>
            </w:r>
          </w:p>
        </w:tc>
        <w:tc>
          <w:tcPr>
            <w:tcW w:w="1860" w:type="dxa"/>
            <w:tcMar>
              <w:top w:w="0" w:type="dxa"/>
              <w:bottom w:w="0" w:type="dxa"/>
            </w:tcMar>
            <w:vAlign w:val="center"/>
          </w:tcPr>
          <w:p w14:paraId="1E4D6218" w14:textId="77777777" w:rsidR="00422385" w:rsidRDefault="00000000" w:rsidP="00F20266">
            <w:pPr>
              <w:keepNext/>
              <w:keepLines/>
              <w:spacing w:after="0" w:line="240" w:lineRule="auto"/>
              <w:jc w:val="both"/>
            </w:pPr>
            <w:r>
              <w:rPr>
                <w:sz w:val="18"/>
              </w:rPr>
              <w:t>807,44</w:t>
            </w:r>
          </w:p>
        </w:tc>
        <w:tc>
          <w:tcPr>
            <w:tcW w:w="1860" w:type="dxa"/>
            <w:tcMar>
              <w:top w:w="0" w:type="dxa"/>
              <w:bottom w:w="0" w:type="dxa"/>
            </w:tcMar>
            <w:vAlign w:val="center"/>
          </w:tcPr>
          <w:p w14:paraId="19B906B7" w14:textId="77777777" w:rsidR="00422385" w:rsidRDefault="00000000" w:rsidP="00F20266">
            <w:pPr>
              <w:keepNext/>
              <w:keepLines/>
              <w:spacing w:after="0" w:line="240" w:lineRule="auto"/>
              <w:jc w:val="both"/>
            </w:pPr>
            <w:r>
              <w:rPr>
                <w:sz w:val="18"/>
              </w:rPr>
              <w:t>5.050,72</w:t>
            </w:r>
          </w:p>
        </w:tc>
        <w:tc>
          <w:tcPr>
            <w:tcW w:w="700" w:type="dxa"/>
            <w:tcMar>
              <w:top w:w="0" w:type="dxa"/>
              <w:bottom w:w="0" w:type="dxa"/>
            </w:tcMar>
            <w:vAlign w:val="center"/>
          </w:tcPr>
          <w:p w14:paraId="6A4365B5" w14:textId="77777777" w:rsidR="00422385" w:rsidRDefault="00000000" w:rsidP="00F20266">
            <w:pPr>
              <w:keepNext/>
              <w:keepLines/>
              <w:spacing w:after="0" w:line="240" w:lineRule="auto"/>
              <w:jc w:val="both"/>
            </w:pPr>
            <w:r>
              <w:rPr>
                <w:sz w:val="18"/>
              </w:rPr>
              <w:t>625,5</w:t>
            </w:r>
          </w:p>
        </w:tc>
      </w:tr>
    </w:tbl>
    <w:p w14:paraId="7536C293" w14:textId="77777777" w:rsidR="00422385" w:rsidRDefault="00422385" w:rsidP="00F20266">
      <w:pPr>
        <w:spacing w:after="0"/>
        <w:jc w:val="both"/>
      </w:pPr>
    </w:p>
    <w:p w14:paraId="50D379A9" w14:textId="77777777" w:rsidR="00422385" w:rsidRDefault="00000000" w:rsidP="00F20266">
      <w:pPr>
        <w:jc w:val="both"/>
      </w:pPr>
      <w:r>
        <w:t>Ostali nespomenuti financijski rashodi (3434) ostvareni su u iznosu od 5.050,72 EUR odnosno sa 525% više od prethodne godine, uslijed realizacije rashoda za usluge obrade kredita kod poslovne banke IKB Umag.</w:t>
      </w:r>
    </w:p>
    <w:p w14:paraId="5BEF36C3" w14:textId="77777777" w:rsidR="00422385" w:rsidRDefault="00422385" w:rsidP="00F20266">
      <w:pPr>
        <w:jc w:val="both"/>
      </w:pPr>
    </w:p>
    <w:p w14:paraId="0314C60A" w14:textId="77777777" w:rsidR="00422385" w:rsidRDefault="00000000" w:rsidP="00F20266">
      <w:pPr>
        <w:keepNext/>
        <w:spacing w:line="240" w:lineRule="auto"/>
        <w:jc w:val="both"/>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38F09F58" w14:textId="77777777">
        <w:trPr>
          <w:cantSplit/>
        </w:trPr>
        <w:tc>
          <w:tcPr>
            <w:tcW w:w="700" w:type="dxa"/>
            <w:shd w:val="clear" w:color="auto" w:fill="E7F0F9"/>
            <w:tcMar>
              <w:top w:w="0" w:type="dxa"/>
              <w:bottom w:w="0" w:type="dxa"/>
            </w:tcMar>
            <w:vAlign w:val="center"/>
          </w:tcPr>
          <w:p w14:paraId="4EFE1006"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B99E56"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2FBFFCB"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890CB37"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5D0C6DE"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3569DA83" w14:textId="77777777" w:rsidR="00422385" w:rsidRDefault="00000000" w:rsidP="00F20266">
            <w:pPr>
              <w:keepNext/>
              <w:keepLines/>
              <w:spacing w:after="0" w:line="240" w:lineRule="auto"/>
              <w:jc w:val="both"/>
            </w:pPr>
            <w:r>
              <w:rPr>
                <w:b/>
                <w:sz w:val="18"/>
              </w:rPr>
              <w:t>Indeks (%)</w:t>
            </w:r>
          </w:p>
        </w:tc>
      </w:tr>
      <w:tr w:rsidR="00422385" w14:paraId="75348A22" w14:textId="77777777">
        <w:trPr>
          <w:cantSplit/>
          <w:trHeight w:val="560"/>
        </w:trPr>
        <w:tc>
          <w:tcPr>
            <w:tcW w:w="700" w:type="dxa"/>
            <w:tcMar>
              <w:top w:w="0" w:type="dxa"/>
              <w:bottom w:w="0" w:type="dxa"/>
            </w:tcMar>
            <w:vAlign w:val="center"/>
          </w:tcPr>
          <w:p w14:paraId="021DBEF3" w14:textId="77777777" w:rsidR="00422385" w:rsidRDefault="00000000" w:rsidP="00F20266">
            <w:pPr>
              <w:keepNext/>
              <w:keepLines/>
              <w:spacing w:after="0" w:line="240" w:lineRule="auto"/>
              <w:jc w:val="both"/>
            </w:pPr>
            <w:r>
              <w:rPr>
                <w:sz w:val="18"/>
              </w:rPr>
              <w:t>35</w:t>
            </w:r>
          </w:p>
        </w:tc>
        <w:tc>
          <w:tcPr>
            <w:tcW w:w="3180" w:type="dxa"/>
            <w:tcMar>
              <w:top w:w="0" w:type="dxa"/>
              <w:bottom w:w="0" w:type="dxa"/>
            </w:tcMar>
            <w:vAlign w:val="center"/>
          </w:tcPr>
          <w:p w14:paraId="4A332ACC" w14:textId="77777777" w:rsidR="00422385" w:rsidRDefault="00000000" w:rsidP="00F20266">
            <w:pPr>
              <w:keepNext/>
              <w:keepLines/>
              <w:spacing w:after="0" w:line="240" w:lineRule="auto"/>
              <w:jc w:val="both"/>
            </w:pPr>
            <w:r>
              <w:rPr>
                <w:sz w:val="18"/>
              </w:rPr>
              <w:t>Subvencije (šifre 351+352+353)</w:t>
            </w:r>
          </w:p>
        </w:tc>
        <w:tc>
          <w:tcPr>
            <w:tcW w:w="700" w:type="dxa"/>
            <w:tcMar>
              <w:top w:w="0" w:type="dxa"/>
              <w:bottom w:w="0" w:type="dxa"/>
            </w:tcMar>
            <w:vAlign w:val="center"/>
          </w:tcPr>
          <w:p w14:paraId="27FDA8A2" w14:textId="77777777" w:rsidR="00422385" w:rsidRDefault="00000000" w:rsidP="00F20266">
            <w:pPr>
              <w:keepNext/>
              <w:keepLines/>
              <w:spacing w:after="0" w:line="240" w:lineRule="auto"/>
              <w:jc w:val="both"/>
            </w:pPr>
            <w:r>
              <w:rPr>
                <w:sz w:val="18"/>
              </w:rPr>
              <w:t>35</w:t>
            </w:r>
          </w:p>
        </w:tc>
        <w:tc>
          <w:tcPr>
            <w:tcW w:w="1860" w:type="dxa"/>
            <w:tcMar>
              <w:top w:w="0" w:type="dxa"/>
              <w:bottom w:w="0" w:type="dxa"/>
            </w:tcMar>
            <w:vAlign w:val="center"/>
          </w:tcPr>
          <w:p w14:paraId="493B1522" w14:textId="77777777" w:rsidR="00422385" w:rsidRDefault="00000000" w:rsidP="00F20266">
            <w:pPr>
              <w:keepNext/>
              <w:keepLines/>
              <w:spacing w:after="0" w:line="240" w:lineRule="auto"/>
              <w:jc w:val="both"/>
            </w:pPr>
            <w:r>
              <w:rPr>
                <w:sz w:val="18"/>
              </w:rPr>
              <w:t>168.686,55</w:t>
            </w:r>
          </w:p>
        </w:tc>
        <w:tc>
          <w:tcPr>
            <w:tcW w:w="1860" w:type="dxa"/>
            <w:tcMar>
              <w:top w:w="0" w:type="dxa"/>
              <w:bottom w:w="0" w:type="dxa"/>
            </w:tcMar>
            <w:vAlign w:val="center"/>
          </w:tcPr>
          <w:p w14:paraId="7AA6A1B9" w14:textId="77777777" w:rsidR="00422385" w:rsidRDefault="00000000" w:rsidP="00F20266">
            <w:pPr>
              <w:keepNext/>
              <w:keepLines/>
              <w:spacing w:after="0" w:line="240" w:lineRule="auto"/>
              <w:jc w:val="both"/>
            </w:pPr>
            <w:r>
              <w:rPr>
                <w:sz w:val="18"/>
              </w:rPr>
              <w:t>256.017,55</w:t>
            </w:r>
          </w:p>
        </w:tc>
        <w:tc>
          <w:tcPr>
            <w:tcW w:w="700" w:type="dxa"/>
            <w:tcMar>
              <w:top w:w="0" w:type="dxa"/>
              <w:bottom w:w="0" w:type="dxa"/>
            </w:tcMar>
            <w:vAlign w:val="center"/>
          </w:tcPr>
          <w:p w14:paraId="65973762" w14:textId="77777777" w:rsidR="00422385" w:rsidRDefault="00000000" w:rsidP="00F20266">
            <w:pPr>
              <w:keepNext/>
              <w:keepLines/>
              <w:spacing w:after="0" w:line="240" w:lineRule="auto"/>
              <w:jc w:val="both"/>
            </w:pPr>
            <w:r>
              <w:rPr>
                <w:sz w:val="18"/>
              </w:rPr>
              <w:t>151,8</w:t>
            </w:r>
          </w:p>
        </w:tc>
      </w:tr>
    </w:tbl>
    <w:p w14:paraId="7BA42AE4" w14:textId="77777777" w:rsidR="00422385" w:rsidRDefault="00422385" w:rsidP="00F20266">
      <w:pPr>
        <w:spacing w:after="0"/>
        <w:jc w:val="both"/>
      </w:pPr>
    </w:p>
    <w:p w14:paraId="640E666F" w14:textId="77777777" w:rsidR="00422385" w:rsidRDefault="00000000" w:rsidP="00F20266">
      <w:pPr>
        <w:jc w:val="both"/>
      </w:pPr>
      <w:r>
        <w:t>Subvencije u 2025. godini realizirane su u iznosu od 256.017,55 EUR što predstavlja povećanje od 51,8% u odnosu na 2024. godinu.</w:t>
      </w:r>
    </w:p>
    <w:p w14:paraId="177CA909" w14:textId="77777777" w:rsidR="00422385" w:rsidRDefault="00000000" w:rsidP="00F20266">
      <w:pPr>
        <w:jc w:val="both"/>
      </w:pPr>
      <w:r>
        <w:t>Razlog povećanja je pored redovnog financiranja javnih trgovačkih društava u javnom sektoru za javni prijevoz putnika, financiranje trgovačkog društva Komunalac za redovno poslovanje.</w:t>
      </w:r>
    </w:p>
    <w:p w14:paraId="246D89A6" w14:textId="77777777" w:rsidR="00422385" w:rsidRDefault="00422385" w:rsidP="00F20266">
      <w:pPr>
        <w:jc w:val="both"/>
      </w:pPr>
    </w:p>
    <w:p w14:paraId="194674CE" w14:textId="77777777" w:rsidR="00422385" w:rsidRDefault="00000000" w:rsidP="00F20266">
      <w:pPr>
        <w:keepNext/>
        <w:spacing w:line="240" w:lineRule="auto"/>
        <w:jc w:val="both"/>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3701CF0E" w14:textId="77777777">
        <w:trPr>
          <w:cantSplit/>
        </w:trPr>
        <w:tc>
          <w:tcPr>
            <w:tcW w:w="700" w:type="dxa"/>
            <w:shd w:val="clear" w:color="auto" w:fill="E7F0F9"/>
            <w:tcMar>
              <w:top w:w="0" w:type="dxa"/>
              <w:bottom w:w="0" w:type="dxa"/>
            </w:tcMar>
            <w:vAlign w:val="center"/>
          </w:tcPr>
          <w:p w14:paraId="3EFBD1F6"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B29D03"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83E6358"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C75E5FB"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204C52B"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1C0CED8C" w14:textId="77777777" w:rsidR="00422385" w:rsidRDefault="00000000" w:rsidP="00F20266">
            <w:pPr>
              <w:keepNext/>
              <w:keepLines/>
              <w:spacing w:after="0" w:line="240" w:lineRule="auto"/>
              <w:jc w:val="both"/>
            </w:pPr>
            <w:r>
              <w:rPr>
                <w:b/>
                <w:sz w:val="18"/>
              </w:rPr>
              <w:t>Indeks (%)</w:t>
            </w:r>
          </w:p>
        </w:tc>
      </w:tr>
      <w:tr w:rsidR="00422385" w14:paraId="6A747852" w14:textId="77777777">
        <w:trPr>
          <w:cantSplit/>
          <w:trHeight w:val="560"/>
        </w:trPr>
        <w:tc>
          <w:tcPr>
            <w:tcW w:w="700" w:type="dxa"/>
            <w:tcMar>
              <w:top w:w="0" w:type="dxa"/>
              <w:bottom w:w="0" w:type="dxa"/>
            </w:tcMar>
            <w:vAlign w:val="center"/>
          </w:tcPr>
          <w:p w14:paraId="5B711298" w14:textId="77777777" w:rsidR="00422385" w:rsidRDefault="00000000" w:rsidP="00F20266">
            <w:pPr>
              <w:keepNext/>
              <w:keepLines/>
              <w:spacing w:after="0" w:line="240" w:lineRule="auto"/>
              <w:jc w:val="both"/>
            </w:pPr>
            <w:r>
              <w:rPr>
                <w:sz w:val="18"/>
              </w:rPr>
              <w:t>352</w:t>
            </w:r>
          </w:p>
        </w:tc>
        <w:tc>
          <w:tcPr>
            <w:tcW w:w="3180" w:type="dxa"/>
            <w:tcMar>
              <w:top w:w="0" w:type="dxa"/>
              <w:bottom w:w="0" w:type="dxa"/>
            </w:tcMar>
            <w:vAlign w:val="center"/>
          </w:tcPr>
          <w:p w14:paraId="1BE32823" w14:textId="77777777" w:rsidR="00422385" w:rsidRDefault="00000000" w:rsidP="00F20266">
            <w:pPr>
              <w:keepNext/>
              <w:keepLines/>
              <w:spacing w:after="0" w:line="240" w:lineRule="auto"/>
              <w:jc w:val="both"/>
            </w:pPr>
            <w:r>
              <w:rPr>
                <w:sz w:val="18"/>
              </w:rPr>
              <w:t>Subvencije kreditnim i financijskim institucijama, trgovačkim društvima, zadrugama, poljoprivrednicima i obrtnicima izvan javnog sektora (šifre 3521 do 3523)</w:t>
            </w:r>
          </w:p>
        </w:tc>
        <w:tc>
          <w:tcPr>
            <w:tcW w:w="700" w:type="dxa"/>
            <w:tcMar>
              <w:top w:w="0" w:type="dxa"/>
              <w:bottom w:w="0" w:type="dxa"/>
            </w:tcMar>
            <w:vAlign w:val="center"/>
          </w:tcPr>
          <w:p w14:paraId="74879529" w14:textId="77777777" w:rsidR="00422385" w:rsidRDefault="00000000" w:rsidP="00F20266">
            <w:pPr>
              <w:keepNext/>
              <w:keepLines/>
              <w:spacing w:after="0" w:line="240" w:lineRule="auto"/>
              <w:jc w:val="both"/>
            </w:pPr>
            <w:r>
              <w:rPr>
                <w:sz w:val="18"/>
              </w:rPr>
              <w:t>352</w:t>
            </w:r>
          </w:p>
        </w:tc>
        <w:tc>
          <w:tcPr>
            <w:tcW w:w="1860" w:type="dxa"/>
            <w:tcMar>
              <w:top w:w="0" w:type="dxa"/>
              <w:bottom w:w="0" w:type="dxa"/>
            </w:tcMar>
            <w:vAlign w:val="center"/>
          </w:tcPr>
          <w:p w14:paraId="10724CEB" w14:textId="77777777" w:rsidR="00422385" w:rsidRDefault="00000000" w:rsidP="00F20266">
            <w:pPr>
              <w:keepNext/>
              <w:keepLines/>
              <w:spacing w:after="0" w:line="240" w:lineRule="auto"/>
              <w:jc w:val="both"/>
            </w:pPr>
            <w:r>
              <w:rPr>
                <w:sz w:val="18"/>
              </w:rPr>
              <w:t>140.821,73</w:t>
            </w:r>
          </w:p>
        </w:tc>
        <w:tc>
          <w:tcPr>
            <w:tcW w:w="1860" w:type="dxa"/>
            <w:tcMar>
              <w:top w:w="0" w:type="dxa"/>
              <w:bottom w:w="0" w:type="dxa"/>
            </w:tcMar>
            <w:vAlign w:val="center"/>
          </w:tcPr>
          <w:p w14:paraId="0BFD9323" w14:textId="77777777" w:rsidR="00422385" w:rsidRDefault="00000000" w:rsidP="00F20266">
            <w:pPr>
              <w:keepNext/>
              <w:keepLines/>
              <w:spacing w:after="0" w:line="240" w:lineRule="auto"/>
              <w:jc w:val="both"/>
            </w:pPr>
            <w:r>
              <w:rPr>
                <w:sz w:val="18"/>
              </w:rPr>
              <w:t>198.840,67</w:t>
            </w:r>
          </w:p>
        </w:tc>
        <w:tc>
          <w:tcPr>
            <w:tcW w:w="700" w:type="dxa"/>
            <w:tcMar>
              <w:top w:w="0" w:type="dxa"/>
              <w:bottom w:w="0" w:type="dxa"/>
            </w:tcMar>
            <w:vAlign w:val="center"/>
          </w:tcPr>
          <w:p w14:paraId="1A026F4C" w14:textId="77777777" w:rsidR="00422385" w:rsidRDefault="00000000" w:rsidP="00F20266">
            <w:pPr>
              <w:keepNext/>
              <w:keepLines/>
              <w:spacing w:after="0" w:line="240" w:lineRule="auto"/>
              <w:jc w:val="both"/>
            </w:pPr>
            <w:r>
              <w:rPr>
                <w:sz w:val="18"/>
              </w:rPr>
              <w:t>141,2</w:t>
            </w:r>
          </w:p>
        </w:tc>
      </w:tr>
    </w:tbl>
    <w:p w14:paraId="1138C718" w14:textId="77777777" w:rsidR="00422385" w:rsidRDefault="00422385" w:rsidP="00F20266">
      <w:pPr>
        <w:spacing w:after="0"/>
        <w:jc w:val="both"/>
      </w:pPr>
    </w:p>
    <w:p w14:paraId="4A3AAD5F" w14:textId="77777777" w:rsidR="00422385" w:rsidRDefault="00000000" w:rsidP="00F20266">
      <w:pPr>
        <w:jc w:val="both"/>
      </w:pPr>
      <w:r>
        <w:t>Subvencije kreditnim i financijskim institucijama, trgovačkim društvima, zadrugama, poljoprivrednicima i obrtnicima izvan javnog sektora (šifre 3521 do 3523) ostvarene su u iznosu od 198.840,67 EUR odnosno sa 41,2% povećanjem u odnosu na prethodnu godinu.</w:t>
      </w:r>
    </w:p>
    <w:p w14:paraId="481A048E" w14:textId="77777777" w:rsidR="00422385" w:rsidRDefault="00000000" w:rsidP="00F20266">
      <w:pPr>
        <w:jc w:val="both"/>
      </w:pPr>
      <w:r>
        <w:t>Uslijed povećanja sufinanciranja ustanove za predškolski odgoj i isplata bespovratnih sredstava novoosnovanim obrtima i poduzećima koji posluju na području Općine Fažana, došlo je do povećanja subvencija u 2025. godini.</w:t>
      </w:r>
    </w:p>
    <w:p w14:paraId="292D9CC5" w14:textId="77777777" w:rsidR="00422385" w:rsidRDefault="00000000" w:rsidP="00F20266">
      <w:pPr>
        <w:jc w:val="both"/>
      </w:pPr>
      <w:r>
        <w:t> </w:t>
      </w:r>
    </w:p>
    <w:p w14:paraId="55E3FB98" w14:textId="77777777" w:rsidR="00422385" w:rsidRDefault="00422385" w:rsidP="00F20266">
      <w:pPr>
        <w:jc w:val="both"/>
      </w:pPr>
    </w:p>
    <w:p w14:paraId="2637E1BE" w14:textId="77777777" w:rsidR="00422385" w:rsidRDefault="00000000" w:rsidP="00F20266">
      <w:pPr>
        <w:keepNext/>
        <w:spacing w:line="240" w:lineRule="auto"/>
        <w:jc w:val="both"/>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56AC497D" w14:textId="77777777">
        <w:trPr>
          <w:cantSplit/>
        </w:trPr>
        <w:tc>
          <w:tcPr>
            <w:tcW w:w="700" w:type="dxa"/>
            <w:shd w:val="clear" w:color="auto" w:fill="E7F0F9"/>
            <w:tcMar>
              <w:top w:w="0" w:type="dxa"/>
              <w:bottom w:w="0" w:type="dxa"/>
            </w:tcMar>
            <w:vAlign w:val="center"/>
          </w:tcPr>
          <w:p w14:paraId="48DC029A"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5C99D9"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A86F3BE"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641BF07"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334A44D0"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433EAE2A" w14:textId="77777777" w:rsidR="00422385" w:rsidRDefault="00000000" w:rsidP="00F20266">
            <w:pPr>
              <w:keepNext/>
              <w:keepLines/>
              <w:spacing w:after="0" w:line="240" w:lineRule="auto"/>
              <w:jc w:val="both"/>
            </w:pPr>
            <w:r>
              <w:rPr>
                <w:b/>
                <w:sz w:val="18"/>
              </w:rPr>
              <w:t>Indeks (%)</w:t>
            </w:r>
          </w:p>
        </w:tc>
      </w:tr>
      <w:tr w:rsidR="00422385" w14:paraId="4C4F8079" w14:textId="77777777">
        <w:trPr>
          <w:cantSplit/>
          <w:trHeight w:val="560"/>
        </w:trPr>
        <w:tc>
          <w:tcPr>
            <w:tcW w:w="700" w:type="dxa"/>
            <w:tcMar>
              <w:top w:w="0" w:type="dxa"/>
              <w:bottom w:w="0" w:type="dxa"/>
            </w:tcMar>
            <w:vAlign w:val="center"/>
          </w:tcPr>
          <w:p w14:paraId="2A8C1E26" w14:textId="77777777" w:rsidR="00422385" w:rsidRDefault="00000000" w:rsidP="00F20266">
            <w:pPr>
              <w:keepNext/>
              <w:keepLines/>
              <w:spacing w:after="0" w:line="240" w:lineRule="auto"/>
              <w:jc w:val="both"/>
            </w:pPr>
            <w:r>
              <w:rPr>
                <w:sz w:val="18"/>
              </w:rPr>
              <w:t>367</w:t>
            </w:r>
          </w:p>
        </w:tc>
        <w:tc>
          <w:tcPr>
            <w:tcW w:w="3180" w:type="dxa"/>
            <w:tcMar>
              <w:top w:w="0" w:type="dxa"/>
              <w:bottom w:w="0" w:type="dxa"/>
            </w:tcMar>
            <w:vAlign w:val="center"/>
          </w:tcPr>
          <w:p w14:paraId="5C6D5432" w14:textId="77777777" w:rsidR="00422385" w:rsidRDefault="00000000" w:rsidP="00F20266">
            <w:pPr>
              <w:keepNext/>
              <w:keepLines/>
              <w:spacing w:after="0" w:line="240" w:lineRule="auto"/>
              <w:jc w:val="both"/>
            </w:pPr>
            <w:r>
              <w:rPr>
                <w:sz w:val="18"/>
              </w:rPr>
              <w:t>Prijenosi proračunskim korisnicima iz nadležnog proračuna za financiranje redovne djelatnosti (šifre 3672 do 3674)</w:t>
            </w:r>
          </w:p>
        </w:tc>
        <w:tc>
          <w:tcPr>
            <w:tcW w:w="700" w:type="dxa"/>
            <w:tcMar>
              <w:top w:w="0" w:type="dxa"/>
              <w:bottom w:w="0" w:type="dxa"/>
            </w:tcMar>
            <w:vAlign w:val="center"/>
          </w:tcPr>
          <w:p w14:paraId="6943EB70" w14:textId="77777777" w:rsidR="00422385" w:rsidRDefault="00000000" w:rsidP="00F20266">
            <w:pPr>
              <w:keepNext/>
              <w:keepLines/>
              <w:spacing w:after="0" w:line="240" w:lineRule="auto"/>
              <w:jc w:val="both"/>
            </w:pPr>
            <w:r>
              <w:rPr>
                <w:sz w:val="18"/>
              </w:rPr>
              <w:t>367</w:t>
            </w:r>
          </w:p>
        </w:tc>
        <w:tc>
          <w:tcPr>
            <w:tcW w:w="1860" w:type="dxa"/>
            <w:tcMar>
              <w:top w:w="0" w:type="dxa"/>
              <w:bottom w:w="0" w:type="dxa"/>
            </w:tcMar>
            <w:vAlign w:val="center"/>
          </w:tcPr>
          <w:p w14:paraId="6DAC0964" w14:textId="77777777" w:rsidR="00422385" w:rsidRDefault="00000000" w:rsidP="00F20266">
            <w:pPr>
              <w:keepNext/>
              <w:keepLines/>
              <w:spacing w:after="0" w:line="240" w:lineRule="auto"/>
              <w:jc w:val="both"/>
            </w:pPr>
            <w:r>
              <w:rPr>
                <w:sz w:val="18"/>
              </w:rPr>
              <w:t>600.145,51</w:t>
            </w:r>
          </w:p>
        </w:tc>
        <w:tc>
          <w:tcPr>
            <w:tcW w:w="1860" w:type="dxa"/>
            <w:tcMar>
              <w:top w:w="0" w:type="dxa"/>
              <w:bottom w:w="0" w:type="dxa"/>
            </w:tcMar>
            <w:vAlign w:val="center"/>
          </w:tcPr>
          <w:p w14:paraId="7BF13C22" w14:textId="77777777" w:rsidR="00422385" w:rsidRDefault="00000000" w:rsidP="00F20266">
            <w:pPr>
              <w:keepNext/>
              <w:keepLines/>
              <w:spacing w:after="0" w:line="240" w:lineRule="auto"/>
              <w:jc w:val="both"/>
            </w:pPr>
            <w:r>
              <w:rPr>
                <w:sz w:val="18"/>
              </w:rPr>
              <w:t>734.746,38</w:t>
            </w:r>
          </w:p>
        </w:tc>
        <w:tc>
          <w:tcPr>
            <w:tcW w:w="700" w:type="dxa"/>
            <w:tcMar>
              <w:top w:w="0" w:type="dxa"/>
              <w:bottom w:w="0" w:type="dxa"/>
            </w:tcMar>
            <w:vAlign w:val="center"/>
          </w:tcPr>
          <w:p w14:paraId="709CD976" w14:textId="77777777" w:rsidR="00422385" w:rsidRDefault="00000000" w:rsidP="00F20266">
            <w:pPr>
              <w:keepNext/>
              <w:keepLines/>
              <w:spacing w:after="0" w:line="240" w:lineRule="auto"/>
              <w:jc w:val="both"/>
            </w:pPr>
            <w:r>
              <w:rPr>
                <w:sz w:val="18"/>
              </w:rPr>
              <w:t>122,4</w:t>
            </w:r>
          </w:p>
        </w:tc>
      </w:tr>
    </w:tbl>
    <w:p w14:paraId="21007E7F" w14:textId="77777777" w:rsidR="00422385" w:rsidRDefault="00422385" w:rsidP="00F20266">
      <w:pPr>
        <w:spacing w:after="0"/>
        <w:jc w:val="both"/>
      </w:pPr>
    </w:p>
    <w:p w14:paraId="2B018E21" w14:textId="77777777" w:rsidR="00422385" w:rsidRDefault="00000000" w:rsidP="00F20266">
      <w:pPr>
        <w:jc w:val="both"/>
      </w:pPr>
      <w:r>
        <w:t>Povećanje sredstava za prijenos proračunskim korisnicima iz nadležnog proračuna za financiranje redovne djelatnosti (šifre 3672 do 3674) uslijedilo je zbog prvenstveno povećanja osnovice za obračun plaća djelatnicima dječjeg vrtića u Fažani (čiji smo osnivač).</w:t>
      </w:r>
    </w:p>
    <w:p w14:paraId="75B6401B" w14:textId="77777777" w:rsidR="00422385" w:rsidRDefault="00422385" w:rsidP="00F20266">
      <w:pPr>
        <w:jc w:val="both"/>
      </w:pPr>
    </w:p>
    <w:p w14:paraId="6BC64DE2" w14:textId="77777777" w:rsidR="00422385" w:rsidRDefault="00000000" w:rsidP="00F20266">
      <w:pPr>
        <w:keepNext/>
        <w:spacing w:line="240" w:lineRule="auto"/>
        <w:jc w:val="both"/>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6A5DE686" w14:textId="77777777">
        <w:trPr>
          <w:cantSplit/>
        </w:trPr>
        <w:tc>
          <w:tcPr>
            <w:tcW w:w="700" w:type="dxa"/>
            <w:shd w:val="clear" w:color="auto" w:fill="E7F0F9"/>
            <w:tcMar>
              <w:top w:w="0" w:type="dxa"/>
              <w:bottom w:w="0" w:type="dxa"/>
            </w:tcMar>
            <w:vAlign w:val="center"/>
          </w:tcPr>
          <w:p w14:paraId="31A6BD88"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C1C992"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95EC498"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3A90443"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61560B8"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3D2C5FA4" w14:textId="77777777" w:rsidR="00422385" w:rsidRDefault="00000000" w:rsidP="00F20266">
            <w:pPr>
              <w:keepNext/>
              <w:keepLines/>
              <w:spacing w:after="0" w:line="240" w:lineRule="auto"/>
              <w:jc w:val="both"/>
            </w:pPr>
            <w:r>
              <w:rPr>
                <w:b/>
                <w:sz w:val="18"/>
              </w:rPr>
              <w:t>Indeks (%)</w:t>
            </w:r>
          </w:p>
        </w:tc>
      </w:tr>
      <w:tr w:rsidR="00422385" w14:paraId="3540C156" w14:textId="77777777">
        <w:trPr>
          <w:cantSplit/>
          <w:trHeight w:val="560"/>
        </w:trPr>
        <w:tc>
          <w:tcPr>
            <w:tcW w:w="700" w:type="dxa"/>
            <w:tcMar>
              <w:top w:w="0" w:type="dxa"/>
              <w:bottom w:w="0" w:type="dxa"/>
            </w:tcMar>
            <w:vAlign w:val="center"/>
          </w:tcPr>
          <w:p w14:paraId="2F619B9E" w14:textId="77777777" w:rsidR="00422385" w:rsidRDefault="00000000" w:rsidP="00F20266">
            <w:pPr>
              <w:keepNext/>
              <w:keepLines/>
              <w:spacing w:after="0" w:line="240" w:lineRule="auto"/>
              <w:jc w:val="both"/>
            </w:pPr>
            <w:r>
              <w:rPr>
                <w:sz w:val="18"/>
              </w:rPr>
              <w:t>37</w:t>
            </w:r>
          </w:p>
        </w:tc>
        <w:tc>
          <w:tcPr>
            <w:tcW w:w="3180" w:type="dxa"/>
            <w:tcMar>
              <w:top w:w="0" w:type="dxa"/>
              <w:bottom w:w="0" w:type="dxa"/>
            </w:tcMar>
            <w:vAlign w:val="center"/>
          </w:tcPr>
          <w:p w14:paraId="4E9BB651" w14:textId="77777777" w:rsidR="00422385" w:rsidRDefault="00000000" w:rsidP="00F20266">
            <w:pPr>
              <w:keepNext/>
              <w:keepLines/>
              <w:spacing w:after="0" w:line="240" w:lineRule="auto"/>
              <w:jc w:val="both"/>
            </w:pPr>
            <w:r>
              <w:rPr>
                <w:sz w:val="18"/>
              </w:rPr>
              <w:t>Naknade građanima i kućanstvima na temelju osiguranja i druge naknade (šifre 371+372)</w:t>
            </w:r>
          </w:p>
        </w:tc>
        <w:tc>
          <w:tcPr>
            <w:tcW w:w="700" w:type="dxa"/>
            <w:tcMar>
              <w:top w:w="0" w:type="dxa"/>
              <w:bottom w:w="0" w:type="dxa"/>
            </w:tcMar>
            <w:vAlign w:val="center"/>
          </w:tcPr>
          <w:p w14:paraId="46AE2AED" w14:textId="77777777" w:rsidR="00422385" w:rsidRDefault="00000000" w:rsidP="00F20266">
            <w:pPr>
              <w:keepNext/>
              <w:keepLines/>
              <w:spacing w:after="0" w:line="240" w:lineRule="auto"/>
              <w:jc w:val="both"/>
            </w:pPr>
            <w:r>
              <w:rPr>
                <w:sz w:val="18"/>
              </w:rPr>
              <w:t>37</w:t>
            </w:r>
          </w:p>
        </w:tc>
        <w:tc>
          <w:tcPr>
            <w:tcW w:w="1860" w:type="dxa"/>
            <w:tcMar>
              <w:top w:w="0" w:type="dxa"/>
              <w:bottom w:w="0" w:type="dxa"/>
            </w:tcMar>
            <w:vAlign w:val="center"/>
          </w:tcPr>
          <w:p w14:paraId="22B19659" w14:textId="77777777" w:rsidR="00422385" w:rsidRDefault="00000000" w:rsidP="00F20266">
            <w:pPr>
              <w:keepNext/>
              <w:keepLines/>
              <w:spacing w:after="0" w:line="240" w:lineRule="auto"/>
              <w:jc w:val="both"/>
            </w:pPr>
            <w:r>
              <w:rPr>
                <w:sz w:val="18"/>
              </w:rPr>
              <w:t>203.394,24</w:t>
            </w:r>
          </w:p>
        </w:tc>
        <w:tc>
          <w:tcPr>
            <w:tcW w:w="1860" w:type="dxa"/>
            <w:tcMar>
              <w:top w:w="0" w:type="dxa"/>
              <w:bottom w:w="0" w:type="dxa"/>
            </w:tcMar>
            <w:vAlign w:val="center"/>
          </w:tcPr>
          <w:p w14:paraId="11E19C6B" w14:textId="77777777" w:rsidR="00422385" w:rsidRDefault="00000000" w:rsidP="00F20266">
            <w:pPr>
              <w:keepNext/>
              <w:keepLines/>
              <w:spacing w:after="0" w:line="240" w:lineRule="auto"/>
              <w:jc w:val="both"/>
            </w:pPr>
            <w:r>
              <w:rPr>
                <w:sz w:val="18"/>
              </w:rPr>
              <w:t>279.730,92</w:t>
            </w:r>
          </w:p>
        </w:tc>
        <w:tc>
          <w:tcPr>
            <w:tcW w:w="700" w:type="dxa"/>
            <w:tcMar>
              <w:top w:w="0" w:type="dxa"/>
              <w:bottom w:w="0" w:type="dxa"/>
            </w:tcMar>
            <w:vAlign w:val="center"/>
          </w:tcPr>
          <w:p w14:paraId="173A5E4F" w14:textId="77777777" w:rsidR="00422385" w:rsidRDefault="00000000" w:rsidP="00F20266">
            <w:pPr>
              <w:keepNext/>
              <w:keepLines/>
              <w:spacing w:after="0" w:line="240" w:lineRule="auto"/>
              <w:jc w:val="both"/>
            </w:pPr>
            <w:r>
              <w:rPr>
                <w:sz w:val="18"/>
              </w:rPr>
              <w:t>137,5</w:t>
            </w:r>
          </w:p>
        </w:tc>
      </w:tr>
    </w:tbl>
    <w:p w14:paraId="1045C268" w14:textId="77777777" w:rsidR="00422385" w:rsidRDefault="00422385" w:rsidP="00F20266">
      <w:pPr>
        <w:spacing w:after="0"/>
        <w:jc w:val="both"/>
      </w:pPr>
    </w:p>
    <w:p w14:paraId="5F3FD22B" w14:textId="77777777" w:rsidR="00422385" w:rsidRDefault="00000000" w:rsidP="00F20266">
      <w:pPr>
        <w:jc w:val="both"/>
      </w:pPr>
      <w:r>
        <w:t>Povećanje naknada građanima i kućanstvima na temelju osiguranja i druge naknade (šifre 371+372) za gotovo 38% u odnosu na prethodnu godinu proizašlo je iz povećanja isplata umirovljenicima i socijalno potrebitima povodom blagdana (uskrsnih i božićnih blagdana).</w:t>
      </w:r>
    </w:p>
    <w:p w14:paraId="2E6E92EA" w14:textId="77777777" w:rsidR="00422385" w:rsidRDefault="00422385" w:rsidP="00F20266">
      <w:pPr>
        <w:jc w:val="both"/>
      </w:pPr>
    </w:p>
    <w:p w14:paraId="6306E5EF" w14:textId="77777777" w:rsidR="00422385" w:rsidRDefault="00000000" w:rsidP="00F20266">
      <w:pPr>
        <w:keepNext/>
        <w:spacing w:line="240" w:lineRule="auto"/>
        <w:jc w:val="both"/>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76AE1EB5" w14:textId="77777777">
        <w:trPr>
          <w:cantSplit/>
        </w:trPr>
        <w:tc>
          <w:tcPr>
            <w:tcW w:w="700" w:type="dxa"/>
            <w:shd w:val="clear" w:color="auto" w:fill="E7F0F9"/>
            <w:tcMar>
              <w:top w:w="0" w:type="dxa"/>
              <w:bottom w:w="0" w:type="dxa"/>
            </w:tcMar>
            <w:vAlign w:val="center"/>
          </w:tcPr>
          <w:p w14:paraId="1AAFF43E"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39B002"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F22337E"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E1E1880"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639EDB63"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0534C97" w14:textId="77777777" w:rsidR="00422385" w:rsidRDefault="00000000" w:rsidP="00F20266">
            <w:pPr>
              <w:keepNext/>
              <w:keepLines/>
              <w:spacing w:after="0" w:line="240" w:lineRule="auto"/>
              <w:jc w:val="both"/>
            </w:pPr>
            <w:r>
              <w:rPr>
                <w:b/>
                <w:sz w:val="18"/>
              </w:rPr>
              <w:t>Indeks (%)</w:t>
            </w:r>
          </w:p>
        </w:tc>
      </w:tr>
      <w:tr w:rsidR="00422385" w14:paraId="522C81C3" w14:textId="77777777">
        <w:trPr>
          <w:cantSplit/>
          <w:trHeight w:val="560"/>
        </w:trPr>
        <w:tc>
          <w:tcPr>
            <w:tcW w:w="700" w:type="dxa"/>
            <w:tcMar>
              <w:top w:w="0" w:type="dxa"/>
              <w:bottom w:w="0" w:type="dxa"/>
            </w:tcMar>
            <w:vAlign w:val="center"/>
          </w:tcPr>
          <w:p w14:paraId="10DD0E80" w14:textId="77777777" w:rsidR="00422385" w:rsidRDefault="00000000" w:rsidP="00F20266">
            <w:pPr>
              <w:keepNext/>
              <w:keepLines/>
              <w:spacing w:after="0" w:line="240" w:lineRule="auto"/>
              <w:jc w:val="both"/>
            </w:pPr>
            <w:r>
              <w:rPr>
                <w:sz w:val="18"/>
              </w:rPr>
              <w:t>381</w:t>
            </w:r>
          </w:p>
        </w:tc>
        <w:tc>
          <w:tcPr>
            <w:tcW w:w="3180" w:type="dxa"/>
            <w:tcMar>
              <w:top w:w="0" w:type="dxa"/>
              <w:bottom w:w="0" w:type="dxa"/>
            </w:tcMar>
            <w:vAlign w:val="center"/>
          </w:tcPr>
          <w:p w14:paraId="0B820B03" w14:textId="77777777" w:rsidR="00422385" w:rsidRDefault="00000000" w:rsidP="00F20266">
            <w:pPr>
              <w:keepNext/>
              <w:keepLines/>
              <w:spacing w:after="0" w:line="240" w:lineRule="auto"/>
              <w:jc w:val="both"/>
            </w:pPr>
            <w:r>
              <w:rPr>
                <w:sz w:val="18"/>
              </w:rPr>
              <w:t>Tekuće donacije (šifre 3811 do 3813)</w:t>
            </w:r>
          </w:p>
        </w:tc>
        <w:tc>
          <w:tcPr>
            <w:tcW w:w="700" w:type="dxa"/>
            <w:tcMar>
              <w:top w:w="0" w:type="dxa"/>
              <w:bottom w:w="0" w:type="dxa"/>
            </w:tcMar>
            <w:vAlign w:val="center"/>
          </w:tcPr>
          <w:p w14:paraId="16ED22A5" w14:textId="77777777" w:rsidR="00422385" w:rsidRDefault="00000000" w:rsidP="00F20266">
            <w:pPr>
              <w:keepNext/>
              <w:keepLines/>
              <w:spacing w:after="0" w:line="240" w:lineRule="auto"/>
              <w:jc w:val="both"/>
            </w:pPr>
            <w:r>
              <w:rPr>
                <w:sz w:val="18"/>
              </w:rPr>
              <w:t>381</w:t>
            </w:r>
          </w:p>
        </w:tc>
        <w:tc>
          <w:tcPr>
            <w:tcW w:w="1860" w:type="dxa"/>
            <w:tcMar>
              <w:top w:w="0" w:type="dxa"/>
              <w:bottom w:w="0" w:type="dxa"/>
            </w:tcMar>
            <w:vAlign w:val="center"/>
          </w:tcPr>
          <w:p w14:paraId="2256E265" w14:textId="77777777" w:rsidR="00422385" w:rsidRDefault="00000000" w:rsidP="00F20266">
            <w:pPr>
              <w:keepNext/>
              <w:keepLines/>
              <w:spacing w:after="0" w:line="240" w:lineRule="auto"/>
              <w:jc w:val="both"/>
            </w:pPr>
            <w:r>
              <w:rPr>
                <w:sz w:val="18"/>
              </w:rPr>
              <w:t>310.405,08</w:t>
            </w:r>
          </w:p>
        </w:tc>
        <w:tc>
          <w:tcPr>
            <w:tcW w:w="1860" w:type="dxa"/>
            <w:tcMar>
              <w:top w:w="0" w:type="dxa"/>
              <w:bottom w:w="0" w:type="dxa"/>
            </w:tcMar>
            <w:vAlign w:val="center"/>
          </w:tcPr>
          <w:p w14:paraId="7A37F6FB" w14:textId="77777777" w:rsidR="00422385" w:rsidRDefault="00000000" w:rsidP="00F20266">
            <w:pPr>
              <w:keepNext/>
              <w:keepLines/>
              <w:spacing w:after="0" w:line="240" w:lineRule="auto"/>
              <w:jc w:val="both"/>
            </w:pPr>
            <w:r>
              <w:rPr>
                <w:sz w:val="18"/>
              </w:rPr>
              <w:t>463.591,44</w:t>
            </w:r>
          </w:p>
        </w:tc>
        <w:tc>
          <w:tcPr>
            <w:tcW w:w="700" w:type="dxa"/>
            <w:tcMar>
              <w:top w:w="0" w:type="dxa"/>
              <w:bottom w:w="0" w:type="dxa"/>
            </w:tcMar>
            <w:vAlign w:val="center"/>
          </w:tcPr>
          <w:p w14:paraId="500B0786" w14:textId="77777777" w:rsidR="00422385" w:rsidRDefault="00000000" w:rsidP="00F20266">
            <w:pPr>
              <w:keepNext/>
              <w:keepLines/>
              <w:spacing w:after="0" w:line="240" w:lineRule="auto"/>
              <w:jc w:val="both"/>
            </w:pPr>
            <w:r>
              <w:rPr>
                <w:sz w:val="18"/>
              </w:rPr>
              <w:t>149,4</w:t>
            </w:r>
          </w:p>
        </w:tc>
      </w:tr>
    </w:tbl>
    <w:p w14:paraId="107AE6C4" w14:textId="77777777" w:rsidR="00422385" w:rsidRDefault="00422385" w:rsidP="00F20266">
      <w:pPr>
        <w:spacing w:after="0"/>
        <w:jc w:val="both"/>
      </w:pPr>
    </w:p>
    <w:p w14:paraId="55F3A746" w14:textId="77777777" w:rsidR="00422385" w:rsidRDefault="00000000" w:rsidP="00F20266">
      <w:pPr>
        <w:jc w:val="both"/>
      </w:pPr>
      <w:r>
        <w:t>Povećanje tekućih donacija u 2025. godini za 49,4% u odnosu na 2024. godinu, proizašlo je zbog većih isplata sredstava zajednici sportskih udruga i općenito udrugama koje djeluju na području općine Fažana nakon provedenog javnog poziva za udruge.</w:t>
      </w:r>
    </w:p>
    <w:p w14:paraId="7F64F980" w14:textId="77777777" w:rsidR="00422385" w:rsidRDefault="00422385" w:rsidP="00F20266">
      <w:pPr>
        <w:jc w:val="both"/>
      </w:pPr>
    </w:p>
    <w:p w14:paraId="5FC491DE" w14:textId="77777777" w:rsidR="00422385" w:rsidRDefault="00000000" w:rsidP="00F20266">
      <w:pPr>
        <w:keepNext/>
        <w:spacing w:line="240" w:lineRule="auto"/>
        <w:jc w:val="both"/>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441B0380" w14:textId="77777777">
        <w:trPr>
          <w:cantSplit/>
        </w:trPr>
        <w:tc>
          <w:tcPr>
            <w:tcW w:w="700" w:type="dxa"/>
            <w:shd w:val="clear" w:color="auto" w:fill="E7F0F9"/>
            <w:tcMar>
              <w:top w:w="0" w:type="dxa"/>
              <w:bottom w:w="0" w:type="dxa"/>
            </w:tcMar>
            <w:vAlign w:val="center"/>
          </w:tcPr>
          <w:p w14:paraId="131CE0EC"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ED6718"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F98E7C0"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7FF7708"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1E865649"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22A8E30C" w14:textId="77777777" w:rsidR="00422385" w:rsidRDefault="00000000" w:rsidP="00F20266">
            <w:pPr>
              <w:keepNext/>
              <w:keepLines/>
              <w:spacing w:after="0" w:line="240" w:lineRule="auto"/>
              <w:jc w:val="both"/>
            </w:pPr>
            <w:r>
              <w:rPr>
                <w:b/>
                <w:sz w:val="18"/>
              </w:rPr>
              <w:t>Indeks (%)</w:t>
            </w:r>
          </w:p>
        </w:tc>
      </w:tr>
      <w:tr w:rsidR="00422385" w14:paraId="00AB9EF8" w14:textId="77777777">
        <w:trPr>
          <w:cantSplit/>
          <w:trHeight w:val="560"/>
        </w:trPr>
        <w:tc>
          <w:tcPr>
            <w:tcW w:w="700" w:type="dxa"/>
            <w:tcMar>
              <w:top w:w="0" w:type="dxa"/>
              <w:bottom w:w="0" w:type="dxa"/>
            </w:tcMar>
            <w:vAlign w:val="center"/>
          </w:tcPr>
          <w:p w14:paraId="5B620B8E" w14:textId="77777777" w:rsidR="00422385" w:rsidRDefault="00000000" w:rsidP="00F20266">
            <w:pPr>
              <w:keepNext/>
              <w:keepLines/>
              <w:spacing w:after="0" w:line="240" w:lineRule="auto"/>
              <w:jc w:val="both"/>
            </w:pPr>
            <w:r>
              <w:rPr>
                <w:sz w:val="18"/>
              </w:rPr>
              <w:t>386</w:t>
            </w:r>
          </w:p>
        </w:tc>
        <w:tc>
          <w:tcPr>
            <w:tcW w:w="3180" w:type="dxa"/>
            <w:tcMar>
              <w:top w:w="0" w:type="dxa"/>
              <w:bottom w:w="0" w:type="dxa"/>
            </w:tcMar>
            <w:vAlign w:val="center"/>
          </w:tcPr>
          <w:p w14:paraId="5B62406B" w14:textId="77777777" w:rsidR="00422385" w:rsidRDefault="00000000" w:rsidP="00F20266">
            <w:pPr>
              <w:keepNext/>
              <w:keepLines/>
              <w:spacing w:after="0" w:line="240" w:lineRule="auto"/>
              <w:jc w:val="both"/>
            </w:pPr>
            <w:r>
              <w:rPr>
                <w:sz w:val="18"/>
              </w:rPr>
              <w:t>Kapitalne pomoći (šifre 3861 do 3865)</w:t>
            </w:r>
          </w:p>
        </w:tc>
        <w:tc>
          <w:tcPr>
            <w:tcW w:w="700" w:type="dxa"/>
            <w:tcMar>
              <w:top w:w="0" w:type="dxa"/>
              <w:bottom w:w="0" w:type="dxa"/>
            </w:tcMar>
            <w:vAlign w:val="center"/>
          </w:tcPr>
          <w:p w14:paraId="634E300C" w14:textId="77777777" w:rsidR="00422385" w:rsidRDefault="00000000" w:rsidP="00F20266">
            <w:pPr>
              <w:keepNext/>
              <w:keepLines/>
              <w:spacing w:after="0" w:line="240" w:lineRule="auto"/>
              <w:jc w:val="both"/>
            </w:pPr>
            <w:r>
              <w:rPr>
                <w:sz w:val="18"/>
              </w:rPr>
              <w:t>386</w:t>
            </w:r>
          </w:p>
        </w:tc>
        <w:tc>
          <w:tcPr>
            <w:tcW w:w="1860" w:type="dxa"/>
            <w:tcMar>
              <w:top w:w="0" w:type="dxa"/>
              <w:bottom w:w="0" w:type="dxa"/>
            </w:tcMar>
            <w:vAlign w:val="center"/>
          </w:tcPr>
          <w:p w14:paraId="49961AC5" w14:textId="77777777" w:rsidR="00422385" w:rsidRDefault="00000000" w:rsidP="00F20266">
            <w:pPr>
              <w:keepNext/>
              <w:keepLines/>
              <w:spacing w:after="0" w:line="240" w:lineRule="auto"/>
              <w:jc w:val="both"/>
            </w:pPr>
            <w:r>
              <w:rPr>
                <w:sz w:val="18"/>
              </w:rPr>
              <w:t>462.890,95</w:t>
            </w:r>
          </w:p>
        </w:tc>
        <w:tc>
          <w:tcPr>
            <w:tcW w:w="1860" w:type="dxa"/>
            <w:tcMar>
              <w:top w:w="0" w:type="dxa"/>
              <w:bottom w:w="0" w:type="dxa"/>
            </w:tcMar>
            <w:vAlign w:val="center"/>
          </w:tcPr>
          <w:p w14:paraId="1E8DCC50" w14:textId="77777777" w:rsidR="00422385" w:rsidRDefault="00000000" w:rsidP="00F20266">
            <w:pPr>
              <w:keepNext/>
              <w:keepLines/>
              <w:spacing w:after="0" w:line="240" w:lineRule="auto"/>
              <w:jc w:val="both"/>
            </w:pPr>
            <w:r>
              <w:rPr>
                <w:sz w:val="18"/>
              </w:rPr>
              <w:t>42.043,05</w:t>
            </w:r>
          </w:p>
        </w:tc>
        <w:tc>
          <w:tcPr>
            <w:tcW w:w="700" w:type="dxa"/>
            <w:tcMar>
              <w:top w:w="0" w:type="dxa"/>
              <w:bottom w:w="0" w:type="dxa"/>
            </w:tcMar>
            <w:vAlign w:val="center"/>
          </w:tcPr>
          <w:p w14:paraId="40E3DD3F" w14:textId="77777777" w:rsidR="00422385" w:rsidRDefault="00000000" w:rsidP="00F20266">
            <w:pPr>
              <w:keepNext/>
              <w:keepLines/>
              <w:spacing w:after="0" w:line="240" w:lineRule="auto"/>
              <w:jc w:val="both"/>
            </w:pPr>
            <w:r>
              <w:rPr>
                <w:sz w:val="18"/>
              </w:rPr>
              <w:t>9,1</w:t>
            </w:r>
          </w:p>
        </w:tc>
      </w:tr>
    </w:tbl>
    <w:p w14:paraId="52FE44D8" w14:textId="77777777" w:rsidR="00422385" w:rsidRDefault="00422385" w:rsidP="00F20266">
      <w:pPr>
        <w:spacing w:after="0"/>
        <w:jc w:val="both"/>
      </w:pPr>
    </w:p>
    <w:p w14:paraId="7FA3E783" w14:textId="77777777" w:rsidR="00422385" w:rsidRDefault="00000000" w:rsidP="00F20266">
      <w:pPr>
        <w:jc w:val="both"/>
      </w:pPr>
      <w:r>
        <w:t xml:space="preserve">Značajno smanjenje kapitalnih pomoći u 2025. godini u odnosu na 2024. godinu za gotovo 91%. U 2024. godini bile su isplaćena značajna sredstva prema javno trgovačkom društvu Vodovod za investicije izgradnje vodovodne mreže u </w:t>
      </w:r>
      <w:proofErr w:type="spellStart"/>
      <w:r>
        <w:t>Pineti</w:t>
      </w:r>
      <w:proofErr w:type="spellEnd"/>
      <w:r>
        <w:t xml:space="preserve"> i prema komunalnom društvu Komunalac za nabavu traktora. Tako značajnih subvencija u 2025. godini nije bilo.</w:t>
      </w:r>
    </w:p>
    <w:p w14:paraId="4DF5781D" w14:textId="77777777" w:rsidR="00422385" w:rsidRDefault="00422385" w:rsidP="00F20266">
      <w:pPr>
        <w:jc w:val="both"/>
      </w:pPr>
    </w:p>
    <w:p w14:paraId="5D0DBD2F" w14:textId="77777777" w:rsidR="00422385" w:rsidRDefault="00000000" w:rsidP="00F20266">
      <w:pPr>
        <w:keepNext/>
        <w:spacing w:line="240" w:lineRule="auto"/>
        <w:jc w:val="both"/>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395F5C2F" w14:textId="77777777">
        <w:trPr>
          <w:cantSplit/>
        </w:trPr>
        <w:tc>
          <w:tcPr>
            <w:tcW w:w="700" w:type="dxa"/>
            <w:shd w:val="clear" w:color="auto" w:fill="E7F0F9"/>
            <w:tcMar>
              <w:top w:w="0" w:type="dxa"/>
              <w:bottom w:w="0" w:type="dxa"/>
            </w:tcMar>
            <w:vAlign w:val="center"/>
          </w:tcPr>
          <w:p w14:paraId="731FAD4E"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48857F"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6360BDC"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271F601"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38F73A3D"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F8200A3" w14:textId="77777777" w:rsidR="00422385" w:rsidRDefault="00000000" w:rsidP="00F20266">
            <w:pPr>
              <w:keepNext/>
              <w:keepLines/>
              <w:spacing w:after="0" w:line="240" w:lineRule="auto"/>
              <w:jc w:val="both"/>
            </w:pPr>
            <w:r>
              <w:rPr>
                <w:b/>
                <w:sz w:val="18"/>
              </w:rPr>
              <w:t>Indeks (%)</w:t>
            </w:r>
          </w:p>
        </w:tc>
      </w:tr>
      <w:tr w:rsidR="00422385" w14:paraId="6853E039" w14:textId="77777777">
        <w:trPr>
          <w:cantSplit/>
          <w:trHeight w:val="560"/>
        </w:trPr>
        <w:tc>
          <w:tcPr>
            <w:tcW w:w="700" w:type="dxa"/>
            <w:tcMar>
              <w:top w:w="0" w:type="dxa"/>
              <w:bottom w:w="0" w:type="dxa"/>
            </w:tcMar>
            <w:vAlign w:val="center"/>
          </w:tcPr>
          <w:p w14:paraId="1A60515E" w14:textId="77777777" w:rsidR="00422385" w:rsidRDefault="00000000" w:rsidP="00F20266">
            <w:pPr>
              <w:keepNext/>
              <w:keepLines/>
              <w:spacing w:after="0" w:line="240" w:lineRule="auto"/>
              <w:jc w:val="both"/>
            </w:pPr>
            <w:r>
              <w:rPr>
                <w:sz w:val="18"/>
              </w:rPr>
              <w:t>7</w:t>
            </w:r>
          </w:p>
        </w:tc>
        <w:tc>
          <w:tcPr>
            <w:tcW w:w="3180" w:type="dxa"/>
            <w:tcMar>
              <w:top w:w="0" w:type="dxa"/>
              <w:bottom w:w="0" w:type="dxa"/>
            </w:tcMar>
            <w:vAlign w:val="center"/>
          </w:tcPr>
          <w:p w14:paraId="7C1E31E6" w14:textId="77777777" w:rsidR="00422385" w:rsidRDefault="00000000" w:rsidP="00F20266">
            <w:pPr>
              <w:keepNext/>
              <w:keepLines/>
              <w:spacing w:after="0" w:line="240" w:lineRule="auto"/>
              <w:jc w:val="both"/>
            </w:pPr>
            <w:r>
              <w:rPr>
                <w:sz w:val="18"/>
              </w:rPr>
              <w:t>Prihodi od prodaje nefinancijske imovine (šifre 71+72+73+74)</w:t>
            </w:r>
          </w:p>
        </w:tc>
        <w:tc>
          <w:tcPr>
            <w:tcW w:w="700" w:type="dxa"/>
            <w:tcMar>
              <w:top w:w="0" w:type="dxa"/>
              <w:bottom w:w="0" w:type="dxa"/>
            </w:tcMar>
            <w:vAlign w:val="center"/>
          </w:tcPr>
          <w:p w14:paraId="2D6D51F2" w14:textId="77777777" w:rsidR="00422385" w:rsidRDefault="00000000" w:rsidP="00F20266">
            <w:pPr>
              <w:keepNext/>
              <w:keepLines/>
              <w:spacing w:after="0" w:line="240" w:lineRule="auto"/>
              <w:jc w:val="both"/>
            </w:pPr>
            <w:r>
              <w:rPr>
                <w:sz w:val="18"/>
              </w:rPr>
              <w:t>7</w:t>
            </w:r>
          </w:p>
        </w:tc>
        <w:tc>
          <w:tcPr>
            <w:tcW w:w="1860" w:type="dxa"/>
            <w:tcMar>
              <w:top w:w="0" w:type="dxa"/>
              <w:bottom w:w="0" w:type="dxa"/>
            </w:tcMar>
            <w:vAlign w:val="center"/>
          </w:tcPr>
          <w:p w14:paraId="55ED8176" w14:textId="77777777" w:rsidR="00422385" w:rsidRDefault="00000000" w:rsidP="00F20266">
            <w:pPr>
              <w:keepNext/>
              <w:keepLines/>
              <w:spacing w:after="0" w:line="240" w:lineRule="auto"/>
              <w:jc w:val="both"/>
            </w:pPr>
            <w:r>
              <w:rPr>
                <w:sz w:val="18"/>
              </w:rPr>
              <w:t>3.737,90</w:t>
            </w:r>
          </w:p>
        </w:tc>
        <w:tc>
          <w:tcPr>
            <w:tcW w:w="1860" w:type="dxa"/>
            <w:tcMar>
              <w:top w:w="0" w:type="dxa"/>
              <w:bottom w:w="0" w:type="dxa"/>
            </w:tcMar>
            <w:vAlign w:val="center"/>
          </w:tcPr>
          <w:p w14:paraId="138C6FD3" w14:textId="77777777" w:rsidR="00422385" w:rsidRDefault="00000000" w:rsidP="00F20266">
            <w:pPr>
              <w:keepNext/>
              <w:keepLines/>
              <w:spacing w:after="0" w:line="240" w:lineRule="auto"/>
              <w:jc w:val="both"/>
            </w:pPr>
            <w:r>
              <w:rPr>
                <w:sz w:val="18"/>
              </w:rPr>
              <w:t>1.340.807,29</w:t>
            </w:r>
          </w:p>
        </w:tc>
        <w:tc>
          <w:tcPr>
            <w:tcW w:w="700" w:type="dxa"/>
            <w:tcMar>
              <w:top w:w="0" w:type="dxa"/>
              <w:bottom w:w="0" w:type="dxa"/>
            </w:tcMar>
            <w:vAlign w:val="center"/>
          </w:tcPr>
          <w:p w14:paraId="0DAAB0F8" w14:textId="77777777" w:rsidR="00422385" w:rsidRDefault="00000000" w:rsidP="00F20266">
            <w:pPr>
              <w:keepNext/>
              <w:keepLines/>
              <w:spacing w:after="0" w:line="240" w:lineRule="auto"/>
              <w:jc w:val="both"/>
            </w:pPr>
            <w:r>
              <w:rPr>
                <w:sz w:val="18"/>
              </w:rPr>
              <w:t>&gt;&gt;100</w:t>
            </w:r>
          </w:p>
        </w:tc>
      </w:tr>
    </w:tbl>
    <w:p w14:paraId="74CDEB82" w14:textId="77777777" w:rsidR="00422385" w:rsidRDefault="00422385" w:rsidP="00F20266">
      <w:pPr>
        <w:spacing w:after="0"/>
        <w:jc w:val="both"/>
      </w:pPr>
    </w:p>
    <w:p w14:paraId="1AD0BD49" w14:textId="77777777" w:rsidR="00422385" w:rsidRDefault="00000000" w:rsidP="00F20266">
      <w:pPr>
        <w:jc w:val="both"/>
      </w:pPr>
      <w:r>
        <w:t>Općina Fažana je tijekom ljeta raspisala javni natječaj za prodaju triju nekretnina, građevinskih čestica na području k.o. Fažana i ostvarila prodaju istih u vrijednosti od 1.340.000,00 EUR.</w:t>
      </w:r>
    </w:p>
    <w:p w14:paraId="54FA5217" w14:textId="77777777" w:rsidR="00422385" w:rsidRDefault="00000000" w:rsidP="00F20266">
      <w:pPr>
        <w:jc w:val="both"/>
      </w:pPr>
      <w:r>
        <w:t>Dok, su ovi drugi prihodi ostvareni u iznosu od 807,29 EUR, a isti se odnose na prihode od otkupa stanova.</w:t>
      </w:r>
    </w:p>
    <w:p w14:paraId="222C1B84" w14:textId="77777777" w:rsidR="00422385" w:rsidRDefault="00422385" w:rsidP="00F20266">
      <w:pPr>
        <w:jc w:val="both"/>
      </w:pPr>
    </w:p>
    <w:p w14:paraId="112864A8" w14:textId="77777777" w:rsidR="00422385" w:rsidRDefault="00000000" w:rsidP="00F20266">
      <w:pPr>
        <w:keepNext/>
        <w:spacing w:line="240" w:lineRule="auto"/>
        <w:jc w:val="both"/>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2C3D45EC" w14:textId="77777777">
        <w:trPr>
          <w:cantSplit/>
        </w:trPr>
        <w:tc>
          <w:tcPr>
            <w:tcW w:w="700" w:type="dxa"/>
            <w:shd w:val="clear" w:color="auto" w:fill="E7F0F9"/>
            <w:tcMar>
              <w:top w:w="0" w:type="dxa"/>
              <w:bottom w:w="0" w:type="dxa"/>
            </w:tcMar>
            <w:vAlign w:val="center"/>
          </w:tcPr>
          <w:p w14:paraId="55AA425E"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C0F8F8"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91C46B8"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CD1C7CD"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6EADDD6"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0B4D36D5" w14:textId="77777777" w:rsidR="00422385" w:rsidRDefault="00000000" w:rsidP="00F20266">
            <w:pPr>
              <w:keepNext/>
              <w:keepLines/>
              <w:spacing w:after="0" w:line="240" w:lineRule="auto"/>
              <w:jc w:val="both"/>
            </w:pPr>
            <w:r>
              <w:rPr>
                <w:b/>
                <w:sz w:val="18"/>
              </w:rPr>
              <w:t>Indeks (%)</w:t>
            </w:r>
          </w:p>
        </w:tc>
      </w:tr>
      <w:tr w:rsidR="00422385" w14:paraId="5BA67C37" w14:textId="77777777">
        <w:trPr>
          <w:cantSplit/>
          <w:trHeight w:val="560"/>
        </w:trPr>
        <w:tc>
          <w:tcPr>
            <w:tcW w:w="700" w:type="dxa"/>
            <w:tcMar>
              <w:top w:w="0" w:type="dxa"/>
              <w:bottom w:w="0" w:type="dxa"/>
            </w:tcMar>
            <w:vAlign w:val="center"/>
          </w:tcPr>
          <w:p w14:paraId="45B03F95" w14:textId="77777777" w:rsidR="00422385" w:rsidRDefault="00000000" w:rsidP="00F20266">
            <w:pPr>
              <w:keepNext/>
              <w:keepLines/>
              <w:spacing w:after="0" w:line="240" w:lineRule="auto"/>
              <w:jc w:val="both"/>
            </w:pPr>
            <w:r>
              <w:rPr>
                <w:sz w:val="18"/>
              </w:rPr>
              <w:t>4</w:t>
            </w:r>
          </w:p>
        </w:tc>
        <w:tc>
          <w:tcPr>
            <w:tcW w:w="3180" w:type="dxa"/>
            <w:tcMar>
              <w:top w:w="0" w:type="dxa"/>
              <w:bottom w:w="0" w:type="dxa"/>
            </w:tcMar>
            <w:vAlign w:val="center"/>
          </w:tcPr>
          <w:p w14:paraId="15841099" w14:textId="77777777" w:rsidR="00422385" w:rsidRDefault="00000000" w:rsidP="00F20266">
            <w:pPr>
              <w:keepNext/>
              <w:keepLines/>
              <w:spacing w:after="0" w:line="240" w:lineRule="auto"/>
              <w:jc w:val="both"/>
            </w:pPr>
            <w:r>
              <w:rPr>
                <w:sz w:val="18"/>
              </w:rPr>
              <w:t>Rashodi za nabavu nefinancijske imovine (šifre 41+42+43+44+45)</w:t>
            </w:r>
          </w:p>
        </w:tc>
        <w:tc>
          <w:tcPr>
            <w:tcW w:w="700" w:type="dxa"/>
            <w:tcMar>
              <w:top w:w="0" w:type="dxa"/>
              <w:bottom w:w="0" w:type="dxa"/>
            </w:tcMar>
            <w:vAlign w:val="center"/>
          </w:tcPr>
          <w:p w14:paraId="067D6C6B" w14:textId="77777777" w:rsidR="00422385" w:rsidRDefault="00000000" w:rsidP="00F20266">
            <w:pPr>
              <w:keepNext/>
              <w:keepLines/>
              <w:spacing w:after="0" w:line="240" w:lineRule="auto"/>
              <w:jc w:val="both"/>
            </w:pPr>
            <w:r>
              <w:rPr>
                <w:sz w:val="18"/>
              </w:rPr>
              <w:t>4</w:t>
            </w:r>
          </w:p>
        </w:tc>
        <w:tc>
          <w:tcPr>
            <w:tcW w:w="1860" w:type="dxa"/>
            <w:tcMar>
              <w:top w:w="0" w:type="dxa"/>
              <w:bottom w:w="0" w:type="dxa"/>
            </w:tcMar>
            <w:vAlign w:val="center"/>
          </w:tcPr>
          <w:p w14:paraId="14B4E624" w14:textId="77777777" w:rsidR="00422385" w:rsidRDefault="00000000" w:rsidP="00F20266">
            <w:pPr>
              <w:keepNext/>
              <w:keepLines/>
              <w:spacing w:after="0" w:line="240" w:lineRule="auto"/>
              <w:jc w:val="both"/>
            </w:pPr>
            <w:r>
              <w:rPr>
                <w:sz w:val="18"/>
              </w:rPr>
              <w:t>2.663.061,81</w:t>
            </w:r>
          </w:p>
        </w:tc>
        <w:tc>
          <w:tcPr>
            <w:tcW w:w="1860" w:type="dxa"/>
            <w:tcMar>
              <w:top w:w="0" w:type="dxa"/>
              <w:bottom w:w="0" w:type="dxa"/>
            </w:tcMar>
            <w:vAlign w:val="center"/>
          </w:tcPr>
          <w:p w14:paraId="7AEDBF6D" w14:textId="77777777" w:rsidR="00422385" w:rsidRDefault="00000000" w:rsidP="00F20266">
            <w:pPr>
              <w:keepNext/>
              <w:keepLines/>
              <w:spacing w:after="0" w:line="240" w:lineRule="auto"/>
              <w:jc w:val="both"/>
            </w:pPr>
            <w:r>
              <w:rPr>
                <w:sz w:val="18"/>
              </w:rPr>
              <w:t>3.955.125,70</w:t>
            </w:r>
          </w:p>
        </w:tc>
        <w:tc>
          <w:tcPr>
            <w:tcW w:w="700" w:type="dxa"/>
            <w:tcMar>
              <w:top w:w="0" w:type="dxa"/>
              <w:bottom w:w="0" w:type="dxa"/>
            </w:tcMar>
            <w:vAlign w:val="center"/>
          </w:tcPr>
          <w:p w14:paraId="0DD5BC53" w14:textId="77777777" w:rsidR="00422385" w:rsidRDefault="00000000" w:rsidP="00F20266">
            <w:pPr>
              <w:keepNext/>
              <w:keepLines/>
              <w:spacing w:after="0" w:line="240" w:lineRule="auto"/>
              <w:jc w:val="both"/>
            </w:pPr>
            <w:r>
              <w:rPr>
                <w:sz w:val="18"/>
              </w:rPr>
              <w:t>148,5</w:t>
            </w:r>
          </w:p>
        </w:tc>
      </w:tr>
    </w:tbl>
    <w:p w14:paraId="1CF82F70" w14:textId="77777777" w:rsidR="00422385" w:rsidRDefault="00422385" w:rsidP="00F20266">
      <w:pPr>
        <w:spacing w:after="0"/>
        <w:jc w:val="both"/>
      </w:pPr>
    </w:p>
    <w:p w14:paraId="78408CEA" w14:textId="77777777" w:rsidR="00422385" w:rsidRDefault="00000000" w:rsidP="00F20266">
      <w:pPr>
        <w:jc w:val="both"/>
      </w:pPr>
      <w:r>
        <w:lastRenderedPageBreak/>
        <w:t>Rashodi za nabavu nefinancijske imovine (šifre 41+42+43+44+45) ostvareni su u iznosu od 3.955.125,70 EUR odnosno sa 48,5% više u odnosu na 2024. godinu kad su realizirani u iznosu od 2.663.061,81 EUR.</w:t>
      </w:r>
    </w:p>
    <w:p w14:paraId="5F6AD3CF" w14:textId="77777777" w:rsidR="00422385" w:rsidRDefault="00000000" w:rsidP="00F20266">
      <w:pPr>
        <w:jc w:val="both"/>
      </w:pPr>
      <w:r>
        <w:t>Rashodi za nabavu nefinancijske imovine sastoje se od :   </w:t>
      </w:r>
    </w:p>
    <w:p w14:paraId="204C8E22" w14:textId="77777777" w:rsidR="00422385" w:rsidRDefault="00000000" w:rsidP="00F20266">
      <w:pPr>
        <w:jc w:val="both"/>
      </w:pPr>
      <w:r>
        <w:t xml:space="preserve">- rashodi za nabavu </w:t>
      </w:r>
      <w:proofErr w:type="spellStart"/>
      <w:r>
        <w:t>neproizvedene</w:t>
      </w:r>
      <w:proofErr w:type="spellEnd"/>
      <w:r>
        <w:t xml:space="preserve"> dugotrajne imovine (41)             50.280,32 EUR  </w:t>
      </w:r>
    </w:p>
    <w:p w14:paraId="33F57157" w14:textId="77777777" w:rsidR="00422385" w:rsidRDefault="00000000" w:rsidP="00F20266">
      <w:pPr>
        <w:jc w:val="both"/>
      </w:pPr>
      <w:r>
        <w:t>- rashodi za nabavu proizvedene dugotrajne imovine (42)            3.901.664,13 EUR.  </w:t>
      </w:r>
    </w:p>
    <w:p w14:paraId="6A09D8EA" w14:textId="77777777" w:rsidR="00422385" w:rsidRDefault="00000000" w:rsidP="00F20266">
      <w:pPr>
        <w:jc w:val="both"/>
      </w:pPr>
      <w:r>
        <w:br/>
        <w:t> </w:t>
      </w:r>
    </w:p>
    <w:p w14:paraId="16D37FB2" w14:textId="77777777" w:rsidR="00422385" w:rsidRDefault="00422385" w:rsidP="00F20266">
      <w:pPr>
        <w:jc w:val="both"/>
      </w:pPr>
    </w:p>
    <w:p w14:paraId="4AD69EB7" w14:textId="77777777" w:rsidR="00422385" w:rsidRDefault="00000000" w:rsidP="00F20266">
      <w:pPr>
        <w:keepNext/>
        <w:spacing w:line="240" w:lineRule="auto"/>
        <w:jc w:val="both"/>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6C899F0F" w14:textId="77777777">
        <w:trPr>
          <w:cantSplit/>
        </w:trPr>
        <w:tc>
          <w:tcPr>
            <w:tcW w:w="700" w:type="dxa"/>
            <w:shd w:val="clear" w:color="auto" w:fill="E7F0F9"/>
            <w:tcMar>
              <w:top w:w="0" w:type="dxa"/>
              <w:bottom w:w="0" w:type="dxa"/>
            </w:tcMar>
            <w:vAlign w:val="center"/>
          </w:tcPr>
          <w:p w14:paraId="26939E29"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274FE8"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73135EB"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5EE72E0"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7B9FAE8"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04DB4F9B" w14:textId="77777777" w:rsidR="00422385" w:rsidRDefault="00000000" w:rsidP="00F20266">
            <w:pPr>
              <w:keepNext/>
              <w:keepLines/>
              <w:spacing w:after="0" w:line="240" w:lineRule="auto"/>
              <w:jc w:val="both"/>
            </w:pPr>
            <w:r>
              <w:rPr>
                <w:b/>
                <w:sz w:val="18"/>
              </w:rPr>
              <w:t>Indeks (%)</w:t>
            </w:r>
          </w:p>
        </w:tc>
      </w:tr>
      <w:tr w:rsidR="00422385" w14:paraId="5FF6F5F0" w14:textId="77777777">
        <w:trPr>
          <w:cantSplit/>
          <w:trHeight w:val="560"/>
        </w:trPr>
        <w:tc>
          <w:tcPr>
            <w:tcW w:w="700" w:type="dxa"/>
            <w:tcMar>
              <w:top w:w="0" w:type="dxa"/>
              <w:bottom w:w="0" w:type="dxa"/>
            </w:tcMar>
            <w:vAlign w:val="center"/>
          </w:tcPr>
          <w:p w14:paraId="76A7F3AA" w14:textId="77777777" w:rsidR="00422385" w:rsidRDefault="00000000" w:rsidP="00F20266">
            <w:pPr>
              <w:keepNext/>
              <w:keepLines/>
              <w:spacing w:after="0" w:line="240" w:lineRule="auto"/>
              <w:jc w:val="both"/>
            </w:pPr>
            <w:r>
              <w:rPr>
                <w:sz w:val="18"/>
              </w:rPr>
              <w:t>41</w:t>
            </w:r>
          </w:p>
        </w:tc>
        <w:tc>
          <w:tcPr>
            <w:tcW w:w="3180" w:type="dxa"/>
            <w:tcMar>
              <w:top w:w="0" w:type="dxa"/>
              <w:bottom w:w="0" w:type="dxa"/>
            </w:tcMar>
            <w:vAlign w:val="center"/>
          </w:tcPr>
          <w:p w14:paraId="243BAC48" w14:textId="77777777" w:rsidR="00422385" w:rsidRDefault="00000000" w:rsidP="00F20266">
            <w:pPr>
              <w:keepNext/>
              <w:keepLines/>
              <w:spacing w:after="0" w:line="240" w:lineRule="auto"/>
              <w:jc w:val="both"/>
            </w:pPr>
            <w:r>
              <w:rPr>
                <w:sz w:val="18"/>
              </w:rPr>
              <w:t xml:space="preserve">Rashodi za nabavu </w:t>
            </w:r>
            <w:proofErr w:type="spellStart"/>
            <w:r>
              <w:rPr>
                <w:sz w:val="18"/>
              </w:rPr>
              <w:t>neproizvedene</w:t>
            </w:r>
            <w:proofErr w:type="spellEnd"/>
            <w:r>
              <w:rPr>
                <w:sz w:val="18"/>
              </w:rPr>
              <w:t xml:space="preserve"> dugotrajne imovine (šifre 411+412)</w:t>
            </w:r>
          </w:p>
        </w:tc>
        <w:tc>
          <w:tcPr>
            <w:tcW w:w="700" w:type="dxa"/>
            <w:tcMar>
              <w:top w:w="0" w:type="dxa"/>
              <w:bottom w:w="0" w:type="dxa"/>
            </w:tcMar>
            <w:vAlign w:val="center"/>
          </w:tcPr>
          <w:p w14:paraId="204D12CF" w14:textId="77777777" w:rsidR="00422385" w:rsidRDefault="00000000" w:rsidP="00F20266">
            <w:pPr>
              <w:keepNext/>
              <w:keepLines/>
              <w:spacing w:after="0" w:line="240" w:lineRule="auto"/>
              <w:jc w:val="both"/>
            </w:pPr>
            <w:r>
              <w:rPr>
                <w:sz w:val="18"/>
              </w:rPr>
              <w:t>41</w:t>
            </w:r>
          </w:p>
        </w:tc>
        <w:tc>
          <w:tcPr>
            <w:tcW w:w="1860" w:type="dxa"/>
            <w:tcMar>
              <w:top w:w="0" w:type="dxa"/>
              <w:bottom w:w="0" w:type="dxa"/>
            </w:tcMar>
            <w:vAlign w:val="center"/>
          </w:tcPr>
          <w:p w14:paraId="47D76212" w14:textId="77777777" w:rsidR="00422385" w:rsidRDefault="00000000" w:rsidP="00F20266">
            <w:pPr>
              <w:keepNext/>
              <w:keepLines/>
              <w:spacing w:after="0" w:line="240" w:lineRule="auto"/>
              <w:jc w:val="both"/>
            </w:pPr>
            <w:r>
              <w:rPr>
                <w:sz w:val="18"/>
              </w:rPr>
              <w:t>0,00</w:t>
            </w:r>
          </w:p>
        </w:tc>
        <w:tc>
          <w:tcPr>
            <w:tcW w:w="1860" w:type="dxa"/>
            <w:tcMar>
              <w:top w:w="0" w:type="dxa"/>
              <w:bottom w:w="0" w:type="dxa"/>
            </w:tcMar>
            <w:vAlign w:val="center"/>
          </w:tcPr>
          <w:p w14:paraId="2CDA2255" w14:textId="77777777" w:rsidR="00422385" w:rsidRDefault="00000000" w:rsidP="00F20266">
            <w:pPr>
              <w:keepNext/>
              <w:keepLines/>
              <w:spacing w:after="0" w:line="240" w:lineRule="auto"/>
              <w:jc w:val="both"/>
            </w:pPr>
            <w:r>
              <w:rPr>
                <w:sz w:val="18"/>
              </w:rPr>
              <w:t>50.280,32</w:t>
            </w:r>
          </w:p>
        </w:tc>
        <w:tc>
          <w:tcPr>
            <w:tcW w:w="700" w:type="dxa"/>
            <w:tcMar>
              <w:top w:w="0" w:type="dxa"/>
              <w:bottom w:w="0" w:type="dxa"/>
            </w:tcMar>
            <w:vAlign w:val="center"/>
          </w:tcPr>
          <w:p w14:paraId="4763EFE5" w14:textId="77777777" w:rsidR="00422385" w:rsidRDefault="00000000" w:rsidP="00F20266">
            <w:pPr>
              <w:keepNext/>
              <w:keepLines/>
              <w:spacing w:after="0" w:line="240" w:lineRule="auto"/>
              <w:jc w:val="both"/>
            </w:pPr>
            <w:r>
              <w:rPr>
                <w:sz w:val="18"/>
              </w:rPr>
              <w:t>-</w:t>
            </w:r>
          </w:p>
        </w:tc>
      </w:tr>
    </w:tbl>
    <w:p w14:paraId="2045D88C" w14:textId="77777777" w:rsidR="00422385" w:rsidRDefault="00422385" w:rsidP="00F20266">
      <w:pPr>
        <w:spacing w:after="0"/>
        <w:jc w:val="both"/>
      </w:pPr>
    </w:p>
    <w:p w14:paraId="32913CF7" w14:textId="77777777" w:rsidR="00422385" w:rsidRDefault="00000000" w:rsidP="00F20266">
      <w:pPr>
        <w:jc w:val="both"/>
      </w:pPr>
      <w:r>
        <w:t xml:space="preserve">Rashodi za nabavu </w:t>
      </w:r>
      <w:proofErr w:type="spellStart"/>
      <w:r>
        <w:t>neproizvedene</w:t>
      </w:r>
      <w:proofErr w:type="spellEnd"/>
      <w:r>
        <w:t xml:space="preserve"> dugotrajne imovine (šifre 411+412) ostvareni su u iznosu od 50.280,32 EUR odnosno 100% više od prošle godine kad nije bilo realizacije.</w:t>
      </w:r>
    </w:p>
    <w:p w14:paraId="08DC9BDC" w14:textId="77777777" w:rsidR="00422385" w:rsidRDefault="00000000" w:rsidP="00F20266">
      <w:pPr>
        <w:jc w:val="both"/>
      </w:pPr>
      <w:r>
        <w:t>Navedeni rashodi su ostvareni najvećim dijelom uslijed obeštećenja stranke za jedno građevinsko zemljište odnosno izvlaštenje za zemljište (V.M.) u iznosu od 33.547,00 EUR, a ostalo se odnosi na sanaciju dviju plaža i stručni nadzor za navedenu investiciju.</w:t>
      </w:r>
      <w:r>
        <w:br/>
        <w:t> </w:t>
      </w:r>
    </w:p>
    <w:p w14:paraId="12540F61" w14:textId="77777777" w:rsidR="00422385" w:rsidRDefault="00422385" w:rsidP="00F20266">
      <w:pPr>
        <w:jc w:val="both"/>
      </w:pPr>
    </w:p>
    <w:p w14:paraId="3DDEC884" w14:textId="77777777" w:rsidR="00422385" w:rsidRDefault="00000000" w:rsidP="00F20266">
      <w:pPr>
        <w:keepNext/>
        <w:spacing w:line="240" w:lineRule="auto"/>
        <w:jc w:val="both"/>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5D32A5F7" w14:textId="77777777">
        <w:trPr>
          <w:cantSplit/>
        </w:trPr>
        <w:tc>
          <w:tcPr>
            <w:tcW w:w="700" w:type="dxa"/>
            <w:shd w:val="clear" w:color="auto" w:fill="E7F0F9"/>
            <w:tcMar>
              <w:top w:w="0" w:type="dxa"/>
              <w:bottom w:w="0" w:type="dxa"/>
            </w:tcMar>
            <w:vAlign w:val="center"/>
          </w:tcPr>
          <w:p w14:paraId="26BF4659"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FA885F"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04E554B"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82ADB3D"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2F298775"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73E543D" w14:textId="77777777" w:rsidR="00422385" w:rsidRDefault="00000000" w:rsidP="00F20266">
            <w:pPr>
              <w:keepNext/>
              <w:keepLines/>
              <w:spacing w:after="0" w:line="240" w:lineRule="auto"/>
              <w:jc w:val="both"/>
            </w:pPr>
            <w:r>
              <w:rPr>
                <w:b/>
                <w:sz w:val="18"/>
              </w:rPr>
              <w:t>Indeks (%)</w:t>
            </w:r>
          </w:p>
        </w:tc>
      </w:tr>
      <w:tr w:rsidR="00422385" w14:paraId="5937E9DD" w14:textId="77777777">
        <w:trPr>
          <w:cantSplit/>
          <w:trHeight w:val="560"/>
        </w:trPr>
        <w:tc>
          <w:tcPr>
            <w:tcW w:w="700" w:type="dxa"/>
            <w:tcMar>
              <w:top w:w="0" w:type="dxa"/>
              <w:bottom w:w="0" w:type="dxa"/>
            </w:tcMar>
            <w:vAlign w:val="center"/>
          </w:tcPr>
          <w:p w14:paraId="7B15CD98" w14:textId="77777777" w:rsidR="00422385" w:rsidRDefault="00000000" w:rsidP="00F20266">
            <w:pPr>
              <w:keepNext/>
              <w:keepLines/>
              <w:spacing w:after="0" w:line="240" w:lineRule="auto"/>
              <w:jc w:val="both"/>
            </w:pPr>
            <w:r>
              <w:rPr>
                <w:sz w:val="18"/>
              </w:rPr>
              <w:t>42</w:t>
            </w:r>
          </w:p>
        </w:tc>
        <w:tc>
          <w:tcPr>
            <w:tcW w:w="3180" w:type="dxa"/>
            <w:tcMar>
              <w:top w:w="0" w:type="dxa"/>
              <w:bottom w:w="0" w:type="dxa"/>
            </w:tcMar>
            <w:vAlign w:val="center"/>
          </w:tcPr>
          <w:p w14:paraId="0E7D2A65" w14:textId="77777777" w:rsidR="00422385" w:rsidRDefault="00000000" w:rsidP="00F20266">
            <w:pPr>
              <w:keepNext/>
              <w:keepLines/>
              <w:spacing w:after="0" w:line="240" w:lineRule="auto"/>
              <w:jc w:val="both"/>
            </w:pPr>
            <w:r>
              <w:rPr>
                <w:sz w:val="18"/>
              </w:rPr>
              <w:t>Rashodi za nabavu proizvedene dugotrajne imovine (šifre 421+422+423+424+425+426)</w:t>
            </w:r>
          </w:p>
        </w:tc>
        <w:tc>
          <w:tcPr>
            <w:tcW w:w="700" w:type="dxa"/>
            <w:tcMar>
              <w:top w:w="0" w:type="dxa"/>
              <w:bottom w:w="0" w:type="dxa"/>
            </w:tcMar>
            <w:vAlign w:val="center"/>
          </w:tcPr>
          <w:p w14:paraId="72D02700" w14:textId="77777777" w:rsidR="00422385" w:rsidRDefault="00000000" w:rsidP="00F20266">
            <w:pPr>
              <w:keepNext/>
              <w:keepLines/>
              <w:spacing w:after="0" w:line="240" w:lineRule="auto"/>
              <w:jc w:val="both"/>
            </w:pPr>
            <w:r>
              <w:rPr>
                <w:sz w:val="18"/>
              </w:rPr>
              <w:t>42</w:t>
            </w:r>
          </w:p>
        </w:tc>
        <w:tc>
          <w:tcPr>
            <w:tcW w:w="1860" w:type="dxa"/>
            <w:tcMar>
              <w:top w:w="0" w:type="dxa"/>
              <w:bottom w:w="0" w:type="dxa"/>
            </w:tcMar>
            <w:vAlign w:val="center"/>
          </w:tcPr>
          <w:p w14:paraId="367521B0" w14:textId="77777777" w:rsidR="00422385" w:rsidRDefault="00000000" w:rsidP="00F20266">
            <w:pPr>
              <w:keepNext/>
              <w:keepLines/>
              <w:spacing w:after="0" w:line="240" w:lineRule="auto"/>
              <w:jc w:val="both"/>
            </w:pPr>
            <w:r>
              <w:rPr>
                <w:sz w:val="18"/>
              </w:rPr>
              <w:t>2.663.061,81</w:t>
            </w:r>
          </w:p>
        </w:tc>
        <w:tc>
          <w:tcPr>
            <w:tcW w:w="1860" w:type="dxa"/>
            <w:tcMar>
              <w:top w:w="0" w:type="dxa"/>
              <w:bottom w:w="0" w:type="dxa"/>
            </w:tcMar>
            <w:vAlign w:val="center"/>
          </w:tcPr>
          <w:p w14:paraId="469A2BFD" w14:textId="77777777" w:rsidR="00422385" w:rsidRDefault="00000000" w:rsidP="00F20266">
            <w:pPr>
              <w:keepNext/>
              <w:keepLines/>
              <w:spacing w:after="0" w:line="240" w:lineRule="auto"/>
              <w:jc w:val="both"/>
            </w:pPr>
            <w:r>
              <w:rPr>
                <w:sz w:val="18"/>
              </w:rPr>
              <w:t>3.901.664,13</w:t>
            </w:r>
          </w:p>
        </w:tc>
        <w:tc>
          <w:tcPr>
            <w:tcW w:w="700" w:type="dxa"/>
            <w:tcMar>
              <w:top w:w="0" w:type="dxa"/>
              <w:bottom w:w="0" w:type="dxa"/>
            </w:tcMar>
            <w:vAlign w:val="center"/>
          </w:tcPr>
          <w:p w14:paraId="23965497" w14:textId="77777777" w:rsidR="00422385" w:rsidRDefault="00000000" w:rsidP="00F20266">
            <w:pPr>
              <w:keepNext/>
              <w:keepLines/>
              <w:spacing w:after="0" w:line="240" w:lineRule="auto"/>
              <w:jc w:val="both"/>
            </w:pPr>
            <w:r>
              <w:rPr>
                <w:sz w:val="18"/>
              </w:rPr>
              <w:t>146,5</w:t>
            </w:r>
          </w:p>
        </w:tc>
      </w:tr>
    </w:tbl>
    <w:p w14:paraId="5113A84A" w14:textId="77777777" w:rsidR="00422385" w:rsidRDefault="00422385" w:rsidP="00F20266">
      <w:pPr>
        <w:spacing w:after="0"/>
        <w:jc w:val="both"/>
      </w:pPr>
    </w:p>
    <w:p w14:paraId="7A2BF306" w14:textId="77777777" w:rsidR="00422385" w:rsidRDefault="00000000" w:rsidP="00F20266">
      <w:pPr>
        <w:jc w:val="both"/>
      </w:pPr>
      <w:r>
        <w:t>Rashodi za nabavu proizvedene dugotrajne imovine (šifre 421+422+423+424+425+426) realizirani su u iznosu od 3.901.664,13 EUR odnosno 46,5% više u odnosu na 2024. godinu.</w:t>
      </w:r>
    </w:p>
    <w:p w14:paraId="03172CB6" w14:textId="77777777" w:rsidR="00422385" w:rsidRDefault="00000000" w:rsidP="00F20266">
      <w:pPr>
        <w:jc w:val="both"/>
      </w:pPr>
      <w:r>
        <w:t xml:space="preserve">Tijekom 2025. godine općina Fažana je puno ulagala u nabavu proizvedene dugotrajne imovine, a isto se odnosi na slijedeće investiranje u nefinancijsku imovinu, ulaganjem u izgradnju Nogometnog centra u Fažani (glavnog i pomoćnog igrališta), u završetak izgradnje prometnice CESTA 2, izgradnju prometnice </w:t>
      </w:r>
      <w:proofErr w:type="spellStart"/>
      <w:r>
        <w:t>Šurida</w:t>
      </w:r>
      <w:proofErr w:type="spellEnd"/>
      <w:r>
        <w:t xml:space="preserve">, prometnice San </w:t>
      </w:r>
      <w:proofErr w:type="spellStart"/>
      <w:r>
        <w:t>Pellegrino</w:t>
      </w:r>
      <w:proofErr w:type="spellEnd"/>
      <w:r>
        <w:t xml:space="preserve">, prometnice kod Doma za starije, u uređenje tematskog parka maslinika, ulagala u obnovu i opremanje Doma za mlade, u izgradnju </w:t>
      </w:r>
      <w:proofErr w:type="spellStart"/>
      <w:r>
        <w:t>skate</w:t>
      </w:r>
      <w:proofErr w:type="spellEnd"/>
      <w:r>
        <w:t xml:space="preserve"> parka, ulagala u uređenje koridora prometnice kod poduzetničke zone San </w:t>
      </w:r>
      <w:proofErr w:type="spellStart"/>
      <w:r>
        <w:t>Pellegrino</w:t>
      </w:r>
      <w:proofErr w:type="spellEnd"/>
      <w:r>
        <w:t xml:space="preserve">, te investirala u izradu  projektne dokumentacije vodovodne i kanalizacijske mreže </w:t>
      </w:r>
      <w:r>
        <w:lastRenderedPageBreak/>
        <w:t xml:space="preserve">kod Nogometnog centra, izradu GP za izgradnju prometnice </w:t>
      </w:r>
      <w:proofErr w:type="spellStart"/>
      <w:r>
        <w:t>Manerini</w:t>
      </w:r>
      <w:proofErr w:type="spellEnd"/>
      <w:r>
        <w:t xml:space="preserve">- produžetak na </w:t>
      </w:r>
      <w:proofErr w:type="spellStart"/>
      <w:r>
        <w:t>kč,br</w:t>
      </w:r>
      <w:proofErr w:type="spellEnd"/>
      <w:r>
        <w:t xml:space="preserve">, 780/223, izradu geodetske podloge za izradu UPU Fažana, , izradu geodetske podloge za izradu UPU Valbandon, izradu geodetske podloge za izradu UPU Kamp </w:t>
      </w:r>
      <w:proofErr w:type="spellStart"/>
      <w:r>
        <w:t>Pineta</w:t>
      </w:r>
      <w:proofErr w:type="spellEnd"/>
      <w:r>
        <w:t xml:space="preserve">, izradu grafičkog plana upravljanja pomorskog dobra, dobavljeno i montirani solarni moduli u ulici </w:t>
      </w:r>
      <w:proofErr w:type="spellStart"/>
      <w:r>
        <w:t>Pineta</w:t>
      </w:r>
      <w:proofErr w:type="spellEnd"/>
      <w:r>
        <w:t xml:space="preserve"> od kućnog broja 40 do 137, izradu idejnog projekta </w:t>
      </w:r>
      <w:proofErr w:type="spellStart"/>
      <w:r>
        <w:t>Oliva</w:t>
      </w:r>
      <w:proofErr w:type="spellEnd"/>
      <w:r>
        <w:t xml:space="preserve"> 1, izradu građevinskog i elektro rješenja prometnice na </w:t>
      </w:r>
      <w:proofErr w:type="spellStart"/>
      <w:r>
        <w:t>k.č</w:t>
      </w:r>
      <w:proofErr w:type="spellEnd"/>
      <w:r>
        <w:t>. 859/1, i mnoge druge investicije važne za razvoj same Općine.  </w:t>
      </w:r>
      <w:r>
        <w:br/>
        <w:t> </w:t>
      </w:r>
      <w:r>
        <w:br/>
        <w:t> </w:t>
      </w:r>
    </w:p>
    <w:p w14:paraId="2B1AFB97" w14:textId="77777777" w:rsidR="00422385" w:rsidRDefault="00422385" w:rsidP="00F20266">
      <w:pPr>
        <w:jc w:val="both"/>
      </w:pPr>
    </w:p>
    <w:p w14:paraId="45328F8C" w14:textId="77777777" w:rsidR="00422385" w:rsidRDefault="00000000" w:rsidP="00F20266">
      <w:pPr>
        <w:keepNext/>
        <w:spacing w:line="240" w:lineRule="auto"/>
        <w:jc w:val="both"/>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49F9B843" w14:textId="77777777">
        <w:trPr>
          <w:cantSplit/>
        </w:trPr>
        <w:tc>
          <w:tcPr>
            <w:tcW w:w="700" w:type="dxa"/>
            <w:shd w:val="clear" w:color="auto" w:fill="E7F0F9"/>
            <w:tcMar>
              <w:top w:w="0" w:type="dxa"/>
              <w:bottom w:w="0" w:type="dxa"/>
            </w:tcMar>
            <w:vAlign w:val="center"/>
          </w:tcPr>
          <w:p w14:paraId="3FB9C779"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265016"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9DB41BF"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B76097D"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6A56D6BA"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20788101" w14:textId="77777777" w:rsidR="00422385" w:rsidRDefault="00000000" w:rsidP="00F20266">
            <w:pPr>
              <w:keepNext/>
              <w:keepLines/>
              <w:spacing w:after="0" w:line="240" w:lineRule="auto"/>
              <w:jc w:val="both"/>
            </w:pPr>
            <w:r>
              <w:rPr>
                <w:b/>
                <w:sz w:val="18"/>
              </w:rPr>
              <w:t>Indeks (%)</w:t>
            </w:r>
          </w:p>
        </w:tc>
      </w:tr>
      <w:tr w:rsidR="00422385" w14:paraId="67825B94" w14:textId="77777777">
        <w:trPr>
          <w:cantSplit/>
          <w:trHeight w:val="560"/>
        </w:trPr>
        <w:tc>
          <w:tcPr>
            <w:tcW w:w="700" w:type="dxa"/>
            <w:tcMar>
              <w:top w:w="0" w:type="dxa"/>
              <w:bottom w:w="0" w:type="dxa"/>
            </w:tcMar>
            <w:vAlign w:val="center"/>
          </w:tcPr>
          <w:p w14:paraId="0C1EC553" w14:textId="77777777" w:rsidR="00422385" w:rsidRDefault="00000000" w:rsidP="00F20266">
            <w:pPr>
              <w:keepNext/>
              <w:keepLines/>
              <w:spacing w:after="0" w:line="240" w:lineRule="auto"/>
              <w:jc w:val="both"/>
            </w:pPr>
            <w:r>
              <w:rPr>
                <w:sz w:val="18"/>
              </w:rPr>
              <w:t>8</w:t>
            </w:r>
          </w:p>
        </w:tc>
        <w:tc>
          <w:tcPr>
            <w:tcW w:w="3180" w:type="dxa"/>
            <w:tcMar>
              <w:top w:w="0" w:type="dxa"/>
              <w:bottom w:w="0" w:type="dxa"/>
            </w:tcMar>
            <w:vAlign w:val="center"/>
          </w:tcPr>
          <w:p w14:paraId="1384B29C" w14:textId="77777777" w:rsidR="00422385" w:rsidRDefault="00000000" w:rsidP="00F20266">
            <w:pPr>
              <w:keepNext/>
              <w:keepLines/>
              <w:spacing w:after="0" w:line="240" w:lineRule="auto"/>
              <w:jc w:val="both"/>
            </w:pPr>
            <w:r>
              <w:rPr>
                <w:sz w:val="18"/>
              </w:rPr>
              <w:t>Primici od financijske imovine i zaduživanja (šifre 81+82+83+84+85)</w:t>
            </w:r>
          </w:p>
        </w:tc>
        <w:tc>
          <w:tcPr>
            <w:tcW w:w="700" w:type="dxa"/>
            <w:tcMar>
              <w:top w:w="0" w:type="dxa"/>
              <w:bottom w:w="0" w:type="dxa"/>
            </w:tcMar>
            <w:vAlign w:val="center"/>
          </w:tcPr>
          <w:p w14:paraId="64C4B9A6" w14:textId="77777777" w:rsidR="00422385" w:rsidRDefault="00000000" w:rsidP="00F20266">
            <w:pPr>
              <w:keepNext/>
              <w:keepLines/>
              <w:spacing w:after="0" w:line="240" w:lineRule="auto"/>
              <w:jc w:val="both"/>
            </w:pPr>
            <w:r>
              <w:rPr>
                <w:sz w:val="18"/>
              </w:rPr>
              <w:t>8</w:t>
            </w:r>
          </w:p>
        </w:tc>
        <w:tc>
          <w:tcPr>
            <w:tcW w:w="1860" w:type="dxa"/>
            <w:tcMar>
              <w:top w:w="0" w:type="dxa"/>
              <w:bottom w:w="0" w:type="dxa"/>
            </w:tcMar>
            <w:vAlign w:val="center"/>
          </w:tcPr>
          <w:p w14:paraId="6A13113C" w14:textId="77777777" w:rsidR="00422385" w:rsidRDefault="00000000" w:rsidP="00F20266">
            <w:pPr>
              <w:keepNext/>
              <w:keepLines/>
              <w:spacing w:after="0" w:line="240" w:lineRule="auto"/>
              <w:jc w:val="both"/>
            </w:pPr>
            <w:r>
              <w:rPr>
                <w:sz w:val="18"/>
              </w:rPr>
              <w:t>0,00</w:t>
            </w:r>
          </w:p>
        </w:tc>
        <w:tc>
          <w:tcPr>
            <w:tcW w:w="1860" w:type="dxa"/>
            <w:tcMar>
              <w:top w:w="0" w:type="dxa"/>
              <w:bottom w:w="0" w:type="dxa"/>
            </w:tcMar>
            <w:vAlign w:val="center"/>
          </w:tcPr>
          <w:p w14:paraId="78891544" w14:textId="77777777" w:rsidR="00422385" w:rsidRDefault="00000000" w:rsidP="00F20266">
            <w:pPr>
              <w:keepNext/>
              <w:keepLines/>
              <w:spacing w:after="0" w:line="240" w:lineRule="auto"/>
              <w:jc w:val="both"/>
            </w:pPr>
            <w:r>
              <w:rPr>
                <w:sz w:val="18"/>
              </w:rPr>
              <w:t>522.930,92</w:t>
            </w:r>
          </w:p>
        </w:tc>
        <w:tc>
          <w:tcPr>
            <w:tcW w:w="700" w:type="dxa"/>
            <w:tcMar>
              <w:top w:w="0" w:type="dxa"/>
              <w:bottom w:w="0" w:type="dxa"/>
            </w:tcMar>
            <w:vAlign w:val="center"/>
          </w:tcPr>
          <w:p w14:paraId="3E01D62D" w14:textId="77777777" w:rsidR="00422385" w:rsidRDefault="00000000" w:rsidP="00F20266">
            <w:pPr>
              <w:keepNext/>
              <w:keepLines/>
              <w:spacing w:after="0" w:line="240" w:lineRule="auto"/>
              <w:jc w:val="both"/>
            </w:pPr>
            <w:r>
              <w:rPr>
                <w:sz w:val="18"/>
              </w:rPr>
              <w:t>-</w:t>
            </w:r>
          </w:p>
        </w:tc>
      </w:tr>
    </w:tbl>
    <w:p w14:paraId="0F0037CD" w14:textId="77777777" w:rsidR="00422385" w:rsidRDefault="00422385" w:rsidP="00F20266">
      <w:pPr>
        <w:spacing w:after="0"/>
        <w:jc w:val="both"/>
      </w:pPr>
    </w:p>
    <w:p w14:paraId="166970B1" w14:textId="77777777" w:rsidR="00422385" w:rsidRDefault="00000000" w:rsidP="00F20266">
      <w:pPr>
        <w:jc w:val="both"/>
      </w:pPr>
      <w:r>
        <w:t xml:space="preserve">Općina Fažana je krajem listopada 2025. godine potpisala Ugovor o dugoročnom kreditu sa poslovnom bankom IKB Umag d.d., za potrebe financiranja izgradnje prometnice San </w:t>
      </w:r>
      <w:proofErr w:type="spellStart"/>
      <w:r>
        <w:t>Pellegrino</w:t>
      </w:r>
      <w:proofErr w:type="spellEnd"/>
      <w:r>
        <w:t xml:space="preserve"> (u prvoj fazi), te izgradnje II. faze Nogometnog centra u Fažani.</w:t>
      </w:r>
    </w:p>
    <w:p w14:paraId="6614F923" w14:textId="77777777" w:rsidR="00422385" w:rsidRDefault="00422385" w:rsidP="00F20266">
      <w:pPr>
        <w:jc w:val="both"/>
      </w:pPr>
    </w:p>
    <w:p w14:paraId="4DA68E74" w14:textId="77777777" w:rsidR="00422385" w:rsidRDefault="00000000" w:rsidP="00F20266">
      <w:pPr>
        <w:keepNext/>
        <w:spacing w:line="240" w:lineRule="auto"/>
        <w:jc w:val="both"/>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164B2106" w14:textId="77777777">
        <w:trPr>
          <w:cantSplit/>
        </w:trPr>
        <w:tc>
          <w:tcPr>
            <w:tcW w:w="700" w:type="dxa"/>
            <w:shd w:val="clear" w:color="auto" w:fill="E7F0F9"/>
            <w:tcMar>
              <w:top w:w="0" w:type="dxa"/>
              <w:bottom w:w="0" w:type="dxa"/>
            </w:tcMar>
            <w:vAlign w:val="center"/>
          </w:tcPr>
          <w:p w14:paraId="09B3D0B6"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5A7E0E"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4A2B1CE"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08C1A0F"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39D06C6B"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0BDC1CD7" w14:textId="77777777" w:rsidR="00422385" w:rsidRDefault="00000000" w:rsidP="00F20266">
            <w:pPr>
              <w:keepNext/>
              <w:keepLines/>
              <w:spacing w:after="0" w:line="240" w:lineRule="auto"/>
              <w:jc w:val="both"/>
            </w:pPr>
            <w:r>
              <w:rPr>
                <w:b/>
                <w:sz w:val="18"/>
              </w:rPr>
              <w:t>Indeks (%)</w:t>
            </w:r>
          </w:p>
        </w:tc>
      </w:tr>
      <w:tr w:rsidR="00422385" w14:paraId="61DDB4D5" w14:textId="77777777">
        <w:trPr>
          <w:cantSplit/>
          <w:trHeight w:val="560"/>
        </w:trPr>
        <w:tc>
          <w:tcPr>
            <w:tcW w:w="700" w:type="dxa"/>
            <w:tcMar>
              <w:top w:w="0" w:type="dxa"/>
              <w:bottom w:w="0" w:type="dxa"/>
            </w:tcMar>
            <w:vAlign w:val="center"/>
          </w:tcPr>
          <w:p w14:paraId="5B3EB081" w14:textId="77777777" w:rsidR="00422385" w:rsidRDefault="00000000" w:rsidP="00F20266">
            <w:pPr>
              <w:keepNext/>
              <w:keepLines/>
              <w:spacing w:after="0" w:line="240" w:lineRule="auto"/>
              <w:jc w:val="both"/>
            </w:pPr>
            <w:r>
              <w:rPr>
                <w:sz w:val="18"/>
              </w:rPr>
              <w:t>547</w:t>
            </w:r>
          </w:p>
        </w:tc>
        <w:tc>
          <w:tcPr>
            <w:tcW w:w="3180" w:type="dxa"/>
            <w:tcMar>
              <w:top w:w="0" w:type="dxa"/>
              <w:bottom w:w="0" w:type="dxa"/>
            </w:tcMar>
            <w:vAlign w:val="center"/>
          </w:tcPr>
          <w:p w14:paraId="0F063017" w14:textId="77777777" w:rsidR="00422385" w:rsidRDefault="00000000" w:rsidP="00F20266">
            <w:pPr>
              <w:keepNext/>
              <w:keepLines/>
              <w:spacing w:after="0" w:line="240" w:lineRule="auto"/>
              <w:jc w:val="both"/>
            </w:pPr>
            <w:r>
              <w:rPr>
                <w:sz w:val="18"/>
              </w:rPr>
              <w:t>Otplata glavnice primljenih zajmova od drugih razina vlasti (šifre 5471 do 5477)</w:t>
            </w:r>
          </w:p>
        </w:tc>
        <w:tc>
          <w:tcPr>
            <w:tcW w:w="700" w:type="dxa"/>
            <w:tcMar>
              <w:top w:w="0" w:type="dxa"/>
              <w:bottom w:w="0" w:type="dxa"/>
            </w:tcMar>
            <w:vAlign w:val="center"/>
          </w:tcPr>
          <w:p w14:paraId="7B6F930E" w14:textId="77777777" w:rsidR="00422385" w:rsidRDefault="00000000" w:rsidP="00F20266">
            <w:pPr>
              <w:keepNext/>
              <w:keepLines/>
              <w:spacing w:after="0" w:line="240" w:lineRule="auto"/>
              <w:jc w:val="both"/>
            </w:pPr>
            <w:r>
              <w:rPr>
                <w:sz w:val="18"/>
              </w:rPr>
              <w:t>547</w:t>
            </w:r>
          </w:p>
        </w:tc>
        <w:tc>
          <w:tcPr>
            <w:tcW w:w="1860" w:type="dxa"/>
            <w:tcMar>
              <w:top w:w="0" w:type="dxa"/>
              <w:bottom w:w="0" w:type="dxa"/>
            </w:tcMar>
            <w:vAlign w:val="center"/>
          </w:tcPr>
          <w:p w14:paraId="026982D7" w14:textId="77777777" w:rsidR="00422385" w:rsidRDefault="00000000" w:rsidP="00F20266">
            <w:pPr>
              <w:keepNext/>
              <w:keepLines/>
              <w:spacing w:after="0" w:line="240" w:lineRule="auto"/>
              <w:jc w:val="both"/>
            </w:pPr>
            <w:r>
              <w:rPr>
                <w:sz w:val="18"/>
              </w:rPr>
              <w:t>26.236,49</w:t>
            </w:r>
          </w:p>
        </w:tc>
        <w:tc>
          <w:tcPr>
            <w:tcW w:w="1860" w:type="dxa"/>
            <w:tcMar>
              <w:top w:w="0" w:type="dxa"/>
              <w:bottom w:w="0" w:type="dxa"/>
            </w:tcMar>
            <w:vAlign w:val="center"/>
          </w:tcPr>
          <w:p w14:paraId="24CD243C" w14:textId="77777777" w:rsidR="00422385" w:rsidRDefault="00000000" w:rsidP="00F20266">
            <w:pPr>
              <w:keepNext/>
              <w:keepLines/>
              <w:spacing w:after="0" w:line="240" w:lineRule="auto"/>
              <w:jc w:val="both"/>
            </w:pPr>
            <w:r>
              <w:rPr>
                <w:sz w:val="18"/>
              </w:rPr>
              <w:t>0,00</w:t>
            </w:r>
          </w:p>
        </w:tc>
        <w:tc>
          <w:tcPr>
            <w:tcW w:w="700" w:type="dxa"/>
            <w:tcMar>
              <w:top w:w="0" w:type="dxa"/>
              <w:bottom w:w="0" w:type="dxa"/>
            </w:tcMar>
            <w:vAlign w:val="center"/>
          </w:tcPr>
          <w:p w14:paraId="6CF3D921" w14:textId="77777777" w:rsidR="00422385" w:rsidRDefault="00000000" w:rsidP="00F20266">
            <w:pPr>
              <w:keepNext/>
              <w:keepLines/>
              <w:spacing w:after="0" w:line="240" w:lineRule="auto"/>
              <w:jc w:val="both"/>
            </w:pPr>
            <w:r>
              <w:rPr>
                <w:sz w:val="18"/>
              </w:rPr>
              <w:t>0</w:t>
            </w:r>
          </w:p>
        </w:tc>
      </w:tr>
    </w:tbl>
    <w:p w14:paraId="116F344F" w14:textId="77777777" w:rsidR="00422385" w:rsidRDefault="00422385" w:rsidP="00F20266">
      <w:pPr>
        <w:spacing w:after="0"/>
        <w:jc w:val="both"/>
      </w:pPr>
    </w:p>
    <w:p w14:paraId="723687DF" w14:textId="5D685AB0" w:rsidR="00422385" w:rsidRDefault="00000000" w:rsidP="00F20266">
      <w:pPr>
        <w:jc w:val="both"/>
      </w:pPr>
      <w:r>
        <w:t>Općina Fažana je tijekom 2024. godine otplatila u c</w:t>
      </w:r>
      <w:r w:rsidR="00A57CFF">
        <w:t>i</w:t>
      </w:r>
      <w:r>
        <w:t xml:space="preserve">jelosti dug prema Ministarstvu financija za zajam za odgođeno plaćanje poreza tijekom pandemije </w:t>
      </w:r>
      <w:proofErr w:type="spellStart"/>
      <w:r>
        <w:t>Covid</w:t>
      </w:r>
      <w:proofErr w:type="spellEnd"/>
      <w:r>
        <w:t xml:space="preserve"> 19. </w:t>
      </w:r>
    </w:p>
    <w:p w14:paraId="310779A9" w14:textId="77777777" w:rsidR="00422385" w:rsidRDefault="00422385" w:rsidP="00F20266">
      <w:pPr>
        <w:jc w:val="both"/>
      </w:pPr>
    </w:p>
    <w:p w14:paraId="06D327C8" w14:textId="77777777" w:rsidR="00422385" w:rsidRDefault="00000000" w:rsidP="00F20266">
      <w:pPr>
        <w:keepNext/>
        <w:spacing w:line="240" w:lineRule="auto"/>
        <w:jc w:val="both"/>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03FB5403" w14:textId="77777777">
        <w:trPr>
          <w:cantSplit/>
        </w:trPr>
        <w:tc>
          <w:tcPr>
            <w:tcW w:w="700" w:type="dxa"/>
            <w:shd w:val="clear" w:color="auto" w:fill="E7F0F9"/>
            <w:tcMar>
              <w:top w:w="0" w:type="dxa"/>
              <w:bottom w:w="0" w:type="dxa"/>
            </w:tcMar>
            <w:vAlign w:val="center"/>
          </w:tcPr>
          <w:p w14:paraId="6DA9DFE5"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FF55E5"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68EF5DA"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57A86DD"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18947786"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12B9FBBE" w14:textId="77777777" w:rsidR="00422385" w:rsidRDefault="00000000" w:rsidP="00F20266">
            <w:pPr>
              <w:keepNext/>
              <w:keepLines/>
              <w:spacing w:after="0" w:line="240" w:lineRule="auto"/>
              <w:jc w:val="both"/>
            </w:pPr>
            <w:r>
              <w:rPr>
                <w:b/>
                <w:sz w:val="18"/>
              </w:rPr>
              <w:t>Indeks (%)</w:t>
            </w:r>
          </w:p>
        </w:tc>
      </w:tr>
      <w:tr w:rsidR="00422385" w14:paraId="2CABA299" w14:textId="77777777">
        <w:trPr>
          <w:cantSplit/>
          <w:trHeight w:val="560"/>
        </w:trPr>
        <w:tc>
          <w:tcPr>
            <w:tcW w:w="700" w:type="dxa"/>
            <w:tcMar>
              <w:top w:w="0" w:type="dxa"/>
              <w:bottom w:w="0" w:type="dxa"/>
            </w:tcMar>
            <w:vAlign w:val="center"/>
          </w:tcPr>
          <w:p w14:paraId="5BD29C1A" w14:textId="77777777" w:rsidR="00422385" w:rsidRDefault="00422385" w:rsidP="00F20266">
            <w:pPr>
              <w:keepNext/>
              <w:keepLines/>
              <w:spacing w:after="0" w:line="240" w:lineRule="auto"/>
              <w:jc w:val="both"/>
            </w:pPr>
          </w:p>
        </w:tc>
        <w:tc>
          <w:tcPr>
            <w:tcW w:w="3180" w:type="dxa"/>
            <w:tcMar>
              <w:top w:w="0" w:type="dxa"/>
              <w:bottom w:w="0" w:type="dxa"/>
            </w:tcMar>
            <w:vAlign w:val="center"/>
          </w:tcPr>
          <w:p w14:paraId="39BB874F" w14:textId="77777777" w:rsidR="00422385" w:rsidRDefault="00000000" w:rsidP="00F20266">
            <w:pPr>
              <w:keepNext/>
              <w:keepLines/>
              <w:spacing w:after="0" w:line="240" w:lineRule="auto"/>
              <w:jc w:val="both"/>
            </w:pPr>
            <w:r>
              <w:rPr>
                <w:sz w:val="18"/>
              </w:rPr>
              <w:t>UKUPNI PRIHODI I PRIMICI (šifre X067+8)</w:t>
            </w:r>
          </w:p>
        </w:tc>
        <w:tc>
          <w:tcPr>
            <w:tcW w:w="700" w:type="dxa"/>
            <w:tcMar>
              <w:top w:w="0" w:type="dxa"/>
              <w:bottom w:w="0" w:type="dxa"/>
            </w:tcMar>
            <w:vAlign w:val="center"/>
          </w:tcPr>
          <w:p w14:paraId="6A42B0D2" w14:textId="77777777" w:rsidR="00422385" w:rsidRDefault="00000000" w:rsidP="00F20266">
            <w:pPr>
              <w:keepNext/>
              <w:keepLines/>
              <w:spacing w:after="0" w:line="240" w:lineRule="auto"/>
              <w:jc w:val="both"/>
            </w:pPr>
            <w:r>
              <w:rPr>
                <w:sz w:val="18"/>
              </w:rPr>
              <w:t>X678</w:t>
            </w:r>
          </w:p>
        </w:tc>
        <w:tc>
          <w:tcPr>
            <w:tcW w:w="1860" w:type="dxa"/>
            <w:tcMar>
              <w:top w:w="0" w:type="dxa"/>
              <w:bottom w:w="0" w:type="dxa"/>
            </w:tcMar>
            <w:vAlign w:val="center"/>
          </w:tcPr>
          <w:p w14:paraId="1B86614D" w14:textId="77777777" w:rsidR="00422385" w:rsidRDefault="00000000" w:rsidP="00F20266">
            <w:pPr>
              <w:keepNext/>
              <w:keepLines/>
              <w:spacing w:after="0" w:line="240" w:lineRule="auto"/>
              <w:jc w:val="both"/>
            </w:pPr>
            <w:r>
              <w:rPr>
                <w:sz w:val="18"/>
              </w:rPr>
              <w:t>7.232.800,22</w:t>
            </w:r>
          </w:p>
        </w:tc>
        <w:tc>
          <w:tcPr>
            <w:tcW w:w="1860" w:type="dxa"/>
            <w:tcMar>
              <w:top w:w="0" w:type="dxa"/>
              <w:bottom w:w="0" w:type="dxa"/>
            </w:tcMar>
            <w:vAlign w:val="center"/>
          </w:tcPr>
          <w:p w14:paraId="0D4F87DD" w14:textId="77777777" w:rsidR="00422385" w:rsidRDefault="00000000" w:rsidP="00F20266">
            <w:pPr>
              <w:keepNext/>
              <w:keepLines/>
              <w:spacing w:after="0" w:line="240" w:lineRule="auto"/>
              <w:jc w:val="both"/>
            </w:pPr>
            <w:r>
              <w:rPr>
                <w:sz w:val="18"/>
              </w:rPr>
              <w:t>10.045.161,93</w:t>
            </w:r>
          </w:p>
        </w:tc>
        <w:tc>
          <w:tcPr>
            <w:tcW w:w="700" w:type="dxa"/>
            <w:tcMar>
              <w:top w:w="0" w:type="dxa"/>
              <w:bottom w:w="0" w:type="dxa"/>
            </w:tcMar>
            <w:vAlign w:val="center"/>
          </w:tcPr>
          <w:p w14:paraId="3F1BE84D" w14:textId="77777777" w:rsidR="00422385" w:rsidRDefault="00000000" w:rsidP="00F20266">
            <w:pPr>
              <w:keepNext/>
              <w:keepLines/>
              <w:spacing w:after="0" w:line="240" w:lineRule="auto"/>
              <w:jc w:val="both"/>
            </w:pPr>
            <w:r>
              <w:rPr>
                <w:sz w:val="18"/>
              </w:rPr>
              <w:t>138,9</w:t>
            </w:r>
          </w:p>
        </w:tc>
      </w:tr>
    </w:tbl>
    <w:p w14:paraId="4F898C24" w14:textId="77777777" w:rsidR="00422385" w:rsidRDefault="00422385" w:rsidP="00F20266">
      <w:pPr>
        <w:spacing w:after="0"/>
        <w:jc w:val="both"/>
      </w:pPr>
    </w:p>
    <w:p w14:paraId="6AD222A2" w14:textId="77777777" w:rsidR="00422385" w:rsidRDefault="00000000" w:rsidP="00F20266">
      <w:pPr>
        <w:jc w:val="both"/>
      </w:pPr>
      <w:r>
        <w:t>Ukupni prihodi i primici ostvareni su u 2025. godini u iznosu od 10.045.161,93 EUR odnosno sa 38,9% više u odnosu na 2024. godinu.</w:t>
      </w:r>
    </w:p>
    <w:p w14:paraId="1A878DBA" w14:textId="5B2B6361" w:rsidR="00422385" w:rsidRDefault="00000000" w:rsidP="00F20266">
      <w:pPr>
        <w:jc w:val="both"/>
      </w:pPr>
      <w:r>
        <w:t>Najvećim dijelom povećanje se odnosi na ostvarenje prihoda od prodaje zemljišta i ost</w:t>
      </w:r>
      <w:r w:rsidR="00A93BA9">
        <w:t>v</w:t>
      </w:r>
      <w:r>
        <w:t>arenje kredita, ali i pojedinih prihoda poslovanja (kao komunalni doprinosi).</w:t>
      </w:r>
      <w:r>
        <w:br/>
        <w:t> </w:t>
      </w:r>
    </w:p>
    <w:p w14:paraId="5D54C933" w14:textId="77777777" w:rsidR="00422385" w:rsidRDefault="00422385" w:rsidP="00F20266">
      <w:pPr>
        <w:jc w:val="both"/>
      </w:pPr>
    </w:p>
    <w:p w14:paraId="18B77EF3" w14:textId="77777777" w:rsidR="00422385" w:rsidRDefault="00000000" w:rsidP="00F20266">
      <w:pPr>
        <w:keepNext/>
        <w:spacing w:line="240" w:lineRule="auto"/>
        <w:jc w:val="both"/>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72EB1BCD" w14:textId="77777777">
        <w:trPr>
          <w:cantSplit/>
        </w:trPr>
        <w:tc>
          <w:tcPr>
            <w:tcW w:w="700" w:type="dxa"/>
            <w:shd w:val="clear" w:color="auto" w:fill="E7F0F9"/>
            <w:tcMar>
              <w:top w:w="0" w:type="dxa"/>
              <w:bottom w:w="0" w:type="dxa"/>
            </w:tcMar>
            <w:vAlign w:val="center"/>
          </w:tcPr>
          <w:p w14:paraId="528DE673"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CEB022"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C47C07A"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7AFBDAC"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7C0C2F8B"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A88F34F" w14:textId="77777777" w:rsidR="00422385" w:rsidRDefault="00000000" w:rsidP="00F20266">
            <w:pPr>
              <w:keepNext/>
              <w:keepLines/>
              <w:spacing w:after="0" w:line="240" w:lineRule="auto"/>
              <w:jc w:val="both"/>
            </w:pPr>
            <w:r>
              <w:rPr>
                <w:b/>
                <w:sz w:val="18"/>
              </w:rPr>
              <w:t>Indeks (%)</w:t>
            </w:r>
          </w:p>
        </w:tc>
      </w:tr>
      <w:tr w:rsidR="00422385" w14:paraId="55B80391" w14:textId="77777777">
        <w:trPr>
          <w:cantSplit/>
          <w:trHeight w:val="560"/>
        </w:trPr>
        <w:tc>
          <w:tcPr>
            <w:tcW w:w="700" w:type="dxa"/>
            <w:tcMar>
              <w:top w:w="0" w:type="dxa"/>
              <w:bottom w:w="0" w:type="dxa"/>
            </w:tcMar>
            <w:vAlign w:val="center"/>
          </w:tcPr>
          <w:p w14:paraId="40967C49" w14:textId="77777777" w:rsidR="00422385" w:rsidRDefault="00422385" w:rsidP="00F20266">
            <w:pPr>
              <w:keepNext/>
              <w:keepLines/>
              <w:spacing w:after="0" w:line="240" w:lineRule="auto"/>
              <w:jc w:val="both"/>
            </w:pPr>
          </w:p>
        </w:tc>
        <w:tc>
          <w:tcPr>
            <w:tcW w:w="3180" w:type="dxa"/>
            <w:tcMar>
              <w:top w:w="0" w:type="dxa"/>
              <w:bottom w:w="0" w:type="dxa"/>
            </w:tcMar>
            <w:vAlign w:val="center"/>
          </w:tcPr>
          <w:p w14:paraId="682ADD40" w14:textId="77777777" w:rsidR="00422385" w:rsidRDefault="00000000" w:rsidP="00F20266">
            <w:pPr>
              <w:keepNext/>
              <w:keepLines/>
              <w:spacing w:after="0" w:line="240" w:lineRule="auto"/>
              <w:jc w:val="both"/>
            </w:pPr>
            <w:r>
              <w:rPr>
                <w:sz w:val="18"/>
              </w:rPr>
              <w:t>UKUPNI RASHODI I IZDACI (šifre Y034+5)</w:t>
            </w:r>
          </w:p>
        </w:tc>
        <w:tc>
          <w:tcPr>
            <w:tcW w:w="700" w:type="dxa"/>
            <w:tcMar>
              <w:top w:w="0" w:type="dxa"/>
              <w:bottom w:w="0" w:type="dxa"/>
            </w:tcMar>
            <w:vAlign w:val="center"/>
          </w:tcPr>
          <w:p w14:paraId="4F76CD32" w14:textId="77777777" w:rsidR="00422385" w:rsidRDefault="00000000" w:rsidP="00F20266">
            <w:pPr>
              <w:keepNext/>
              <w:keepLines/>
              <w:spacing w:after="0" w:line="240" w:lineRule="auto"/>
              <w:jc w:val="both"/>
            </w:pPr>
            <w:r>
              <w:rPr>
                <w:sz w:val="18"/>
              </w:rPr>
              <w:t>Y345</w:t>
            </w:r>
          </w:p>
        </w:tc>
        <w:tc>
          <w:tcPr>
            <w:tcW w:w="1860" w:type="dxa"/>
            <w:tcMar>
              <w:top w:w="0" w:type="dxa"/>
              <w:bottom w:w="0" w:type="dxa"/>
            </w:tcMar>
            <w:vAlign w:val="center"/>
          </w:tcPr>
          <w:p w14:paraId="1BAAD50D" w14:textId="77777777" w:rsidR="00422385" w:rsidRDefault="00000000" w:rsidP="00F20266">
            <w:pPr>
              <w:keepNext/>
              <w:keepLines/>
              <w:spacing w:after="0" w:line="240" w:lineRule="auto"/>
              <w:jc w:val="both"/>
            </w:pPr>
            <w:r>
              <w:rPr>
                <w:sz w:val="18"/>
              </w:rPr>
              <w:t>7.966.711,34</w:t>
            </w:r>
          </w:p>
        </w:tc>
        <w:tc>
          <w:tcPr>
            <w:tcW w:w="1860" w:type="dxa"/>
            <w:tcMar>
              <w:top w:w="0" w:type="dxa"/>
              <w:bottom w:w="0" w:type="dxa"/>
            </w:tcMar>
            <w:vAlign w:val="center"/>
          </w:tcPr>
          <w:p w14:paraId="03BC1E0E" w14:textId="77777777" w:rsidR="00422385" w:rsidRDefault="00000000" w:rsidP="00F20266">
            <w:pPr>
              <w:keepNext/>
              <w:keepLines/>
              <w:spacing w:after="0" w:line="240" w:lineRule="auto"/>
              <w:jc w:val="both"/>
            </w:pPr>
            <w:r>
              <w:rPr>
                <w:sz w:val="18"/>
              </w:rPr>
              <w:t>9.923.630,28</w:t>
            </w:r>
          </w:p>
        </w:tc>
        <w:tc>
          <w:tcPr>
            <w:tcW w:w="700" w:type="dxa"/>
            <w:tcMar>
              <w:top w:w="0" w:type="dxa"/>
              <w:bottom w:w="0" w:type="dxa"/>
            </w:tcMar>
            <w:vAlign w:val="center"/>
          </w:tcPr>
          <w:p w14:paraId="62D9B9C1" w14:textId="77777777" w:rsidR="00422385" w:rsidRDefault="00000000" w:rsidP="00F20266">
            <w:pPr>
              <w:keepNext/>
              <w:keepLines/>
              <w:spacing w:after="0" w:line="240" w:lineRule="auto"/>
              <w:jc w:val="both"/>
            </w:pPr>
            <w:r>
              <w:rPr>
                <w:sz w:val="18"/>
              </w:rPr>
              <w:t>124,6</w:t>
            </w:r>
          </w:p>
        </w:tc>
      </w:tr>
    </w:tbl>
    <w:p w14:paraId="0F6DC571" w14:textId="77777777" w:rsidR="00422385" w:rsidRDefault="00422385" w:rsidP="00F20266">
      <w:pPr>
        <w:spacing w:after="0"/>
        <w:jc w:val="both"/>
      </w:pPr>
    </w:p>
    <w:p w14:paraId="013C4BE2" w14:textId="77777777" w:rsidR="00422385" w:rsidRDefault="00000000" w:rsidP="00F20266">
      <w:pPr>
        <w:jc w:val="both"/>
      </w:pPr>
      <w:r>
        <w:t>UKUPNI RASHODI I IZDACI (šifre Y034+5) Y345 ostvareni su u iznosu od 9.923.630,28 EUR odnosno sa 24,6% više u odnosu na 2024. godinu kad su realizirani sa 7.966.711,34 EUR.</w:t>
      </w:r>
    </w:p>
    <w:p w14:paraId="0137C9B0" w14:textId="77777777" w:rsidR="00422385" w:rsidRDefault="00000000" w:rsidP="00F20266">
      <w:pPr>
        <w:jc w:val="both"/>
      </w:pPr>
      <w:r>
        <w:t>Navedeno povećanje rashoda i izdataka odnosi se najvećim dijelom na povećanje rashoda za nabavu dugotrajne nefinancijske imovine.</w:t>
      </w:r>
      <w:r>
        <w:br/>
        <w:t> </w:t>
      </w:r>
      <w:r>
        <w:br/>
        <w:t> </w:t>
      </w:r>
    </w:p>
    <w:p w14:paraId="54411B56" w14:textId="77777777" w:rsidR="00422385" w:rsidRDefault="00422385" w:rsidP="00F20266">
      <w:pPr>
        <w:jc w:val="both"/>
      </w:pPr>
    </w:p>
    <w:p w14:paraId="60C292A2" w14:textId="77777777" w:rsidR="00422385" w:rsidRDefault="00000000" w:rsidP="00F20266">
      <w:pPr>
        <w:keepNext/>
        <w:spacing w:line="240" w:lineRule="auto"/>
        <w:jc w:val="both"/>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499629DB" w14:textId="77777777">
        <w:trPr>
          <w:cantSplit/>
        </w:trPr>
        <w:tc>
          <w:tcPr>
            <w:tcW w:w="700" w:type="dxa"/>
            <w:shd w:val="clear" w:color="auto" w:fill="E7F0F9"/>
            <w:tcMar>
              <w:top w:w="0" w:type="dxa"/>
              <w:bottom w:w="0" w:type="dxa"/>
            </w:tcMar>
            <w:vAlign w:val="center"/>
          </w:tcPr>
          <w:p w14:paraId="23804105"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4B3370"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2010245"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BC0B57A"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2AFF142B"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16B56FFE" w14:textId="77777777" w:rsidR="00422385" w:rsidRDefault="00000000" w:rsidP="00F20266">
            <w:pPr>
              <w:keepNext/>
              <w:keepLines/>
              <w:spacing w:after="0" w:line="240" w:lineRule="auto"/>
              <w:jc w:val="both"/>
            </w:pPr>
            <w:r>
              <w:rPr>
                <w:b/>
                <w:sz w:val="18"/>
              </w:rPr>
              <w:t>Indeks (%)</w:t>
            </w:r>
          </w:p>
        </w:tc>
      </w:tr>
      <w:tr w:rsidR="00422385" w14:paraId="1C2EDAC1" w14:textId="77777777">
        <w:trPr>
          <w:cantSplit/>
          <w:trHeight w:val="560"/>
        </w:trPr>
        <w:tc>
          <w:tcPr>
            <w:tcW w:w="700" w:type="dxa"/>
            <w:tcMar>
              <w:top w:w="0" w:type="dxa"/>
              <w:bottom w:w="0" w:type="dxa"/>
            </w:tcMar>
            <w:vAlign w:val="center"/>
          </w:tcPr>
          <w:p w14:paraId="20D09472" w14:textId="77777777" w:rsidR="00422385" w:rsidRDefault="00000000" w:rsidP="00F20266">
            <w:pPr>
              <w:keepNext/>
              <w:keepLines/>
              <w:spacing w:after="0" w:line="240" w:lineRule="auto"/>
              <w:jc w:val="both"/>
            </w:pPr>
            <w:r>
              <w:rPr>
                <w:sz w:val="18"/>
              </w:rPr>
              <w:t>32372</w:t>
            </w:r>
          </w:p>
        </w:tc>
        <w:tc>
          <w:tcPr>
            <w:tcW w:w="3180" w:type="dxa"/>
            <w:tcMar>
              <w:top w:w="0" w:type="dxa"/>
              <w:bottom w:w="0" w:type="dxa"/>
            </w:tcMar>
            <w:vAlign w:val="center"/>
          </w:tcPr>
          <w:p w14:paraId="7CDBA3BD" w14:textId="77777777" w:rsidR="00422385" w:rsidRDefault="00000000" w:rsidP="00F20266">
            <w:pPr>
              <w:keepNext/>
              <w:keepLines/>
              <w:spacing w:after="0" w:line="240" w:lineRule="auto"/>
              <w:jc w:val="both"/>
            </w:pPr>
            <w:r>
              <w:rPr>
                <w:sz w:val="18"/>
              </w:rPr>
              <w:t>Ugovori o djelu</w:t>
            </w:r>
          </w:p>
        </w:tc>
        <w:tc>
          <w:tcPr>
            <w:tcW w:w="700" w:type="dxa"/>
            <w:tcMar>
              <w:top w:w="0" w:type="dxa"/>
              <w:bottom w:w="0" w:type="dxa"/>
            </w:tcMar>
            <w:vAlign w:val="center"/>
          </w:tcPr>
          <w:p w14:paraId="1125910F" w14:textId="77777777" w:rsidR="00422385" w:rsidRDefault="00000000" w:rsidP="00F20266">
            <w:pPr>
              <w:keepNext/>
              <w:keepLines/>
              <w:spacing w:after="0" w:line="240" w:lineRule="auto"/>
              <w:jc w:val="both"/>
            </w:pPr>
            <w:r>
              <w:rPr>
                <w:sz w:val="18"/>
              </w:rPr>
              <w:t>32372</w:t>
            </w:r>
          </w:p>
        </w:tc>
        <w:tc>
          <w:tcPr>
            <w:tcW w:w="1860" w:type="dxa"/>
            <w:tcMar>
              <w:top w:w="0" w:type="dxa"/>
              <w:bottom w:w="0" w:type="dxa"/>
            </w:tcMar>
            <w:vAlign w:val="center"/>
          </w:tcPr>
          <w:p w14:paraId="693AA89D" w14:textId="77777777" w:rsidR="00422385" w:rsidRDefault="00000000" w:rsidP="00F20266">
            <w:pPr>
              <w:keepNext/>
              <w:keepLines/>
              <w:spacing w:after="0" w:line="240" w:lineRule="auto"/>
              <w:jc w:val="both"/>
            </w:pPr>
            <w:r>
              <w:rPr>
                <w:sz w:val="18"/>
              </w:rPr>
              <w:t>6.974,31</w:t>
            </w:r>
          </w:p>
        </w:tc>
        <w:tc>
          <w:tcPr>
            <w:tcW w:w="1860" w:type="dxa"/>
            <w:tcMar>
              <w:top w:w="0" w:type="dxa"/>
              <w:bottom w:w="0" w:type="dxa"/>
            </w:tcMar>
            <w:vAlign w:val="center"/>
          </w:tcPr>
          <w:p w14:paraId="0A6389C5" w14:textId="77777777" w:rsidR="00422385" w:rsidRDefault="00000000" w:rsidP="00F20266">
            <w:pPr>
              <w:keepNext/>
              <w:keepLines/>
              <w:spacing w:after="0" w:line="240" w:lineRule="auto"/>
              <w:jc w:val="both"/>
            </w:pPr>
            <w:r>
              <w:rPr>
                <w:sz w:val="18"/>
              </w:rPr>
              <w:t>16.717,30</w:t>
            </w:r>
          </w:p>
        </w:tc>
        <w:tc>
          <w:tcPr>
            <w:tcW w:w="700" w:type="dxa"/>
            <w:tcMar>
              <w:top w:w="0" w:type="dxa"/>
              <w:bottom w:w="0" w:type="dxa"/>
            </w:tcMar>
            <w:vAlign w:val="center"/>
          </w:tcPr>
          <w:p w14:paraId="27A91246" w14:textId="77777777" w:rsidR="00422385" w:rsidRDefault="00000000" w:rsidP="00F20266">
            <w:pPr>
              <w:keepNext/>
              <w:keepLines/>
              <w:spacing w:after="0" w:line="240" w:lineRule="auto"/>
              <w:jc w:val="both"/>
            </w:pPr>
            <w:r>
              <w:rPr>
                <w:sz w:val="18"/>
              </w:rPr>
              <w:t>239,7</w:t>
            </w:r>
          </w:p>
        </w:tc>
      </w:tr>
    </w:tbl>
    <w:p w14:paraId="4C8AD0FD" w14:textId="77777777" w:rsidR="00422385" w:rsidRDefault="00422385" w:rsidP="00F20266">
      <w:pPr>
        <w:spacing w:after="0"/>
        <w:jc w:val="both"/>
      </w:pPr>
    </w:p>
    <w:p w14:paraId="04806091" w14:textId="77777777" w:rsidR="00422385" w:rsidRDefault="00000000" w:rsidP="00F20266">
      <w:pPr>
        <w:jc w:val="both"/>
      </w:pPr>
      <w:r>
        <w:t>Ugovori o djelu su realizirani u iznosu od 16.717,30 EUR što je 139,7% više u odnosu na 2024. godinu zbog angažiranja pojedinaca za podjelu kalendara, sudjelovanju i organiziranju proslava tijekom božićnih i uskrsnih blagdana.</w:t>
      </w:r>
    </w:p>
    <w:p w14:paraId="4C05484F" w14:textId="77777777" w:rsidR="00422385" w:rsidRDefault="00422385" w:rsidP="00F20266">
      <w:pPr>
        <w:jc w:val="both"/>
      </w:pPr>
    </w:p>
    <w:p w14:paraId="01B3C9EE" w14:textId="77777777" w:rsidR="00422385" w:rsidRDefault="00000000" w:rsidP="00F20266">
      <w:pPr>
        <w:keepNext/>
        <w:spacing w:line="240" w:lineRule="auto"/>
        <w:jc w:val="both"/>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22751501" w14:textId="77777777">
        <w:trPr>
          <w:cantSplit/>
        </w:trPr>
        <w:tc>
          <w:tcPr>
            <w:tcW w:w="700" w:type="dxa"/>
            <w:shd w:val="clear" w:color="auto" w:fill="E7F0F9"/>
            <w:tcMar>
              <w:top w:w="0" w:type="dxa"/>
              <w:bottom w:w="0" w:type="dxa"/>
            </w:tcMar>
            <w:vAlign w:val="center"/>
          </w:tcPr>
          <w:p w14:paraId="69567105"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3ACA8D"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E7945C2"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D7608B5"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438CA70"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21BB1DDB" w14:textId="77777777" w:rsidR="00422385" w:rsidRDefault="00000000" w:rsidP="00F20266">
            <w:pPr>
              <w:keepNext/>
              <w:keepLines/>
              <w:spacing w:after="0" w:line="240" w:lineRule="auto"/>
              <w:jc w:val="both"/>
            </w:pPr>
            <w:r>
              <w:rPr>
                <w:b/>
                <w:sz w:val="18"/>
              </w:rPr>
              <w:t>Indeks (%)</w:t>
            </w:r>
          </w:p>
        </w:tc>
      </w:tr>
      <w:tr w:rsidR="00422385" w14:paraId="44727B30" w14:textId="77777777">
        <w:trPr>
          <w:cantSplit/>
          <w:trHeight w:val="560"/>
        </w:trPr>
        <w:tc>
          <w:tcPr>
            <w:tcW w:w="700" w:type="dxa"/>
            <w:tcMar>
              <w:top w:w="0" w:type="dxa"/>
              <w:bottom w:w="0" w:type="dxa"/>
            </w:tcMar>
            <w:vAlign w:val="center"/>
          </w:tcPr>
          <w:p w14:paraId="00B394EB" w14:textId="77777777" w:rsidR="00422385" w:rsidRDefault="00000000" w:rsidP="00F20266">
            <w:pPr>
              <w:keepNext/>
              <w:keepLines/>
              <w:spacing w:after="0" w:line="240" w:lineRule="auto"/>
              <w:jc w:val="both"/>
            </w:pPr>
            <w:r>
              <w:rPr>
                <w:sz w:val="18"/>
              </w:rPr>
              <w:t>32911</w:t>
            </w:r>
          </w:p>
        </w:tc>
        <w:tc>
          <w:tcPr>
            <w:tcW w:w="3180" w:type="dxa"/>
            <w:tcMar>
              <w:top w:w="0" w:type="dxa"/>
              <w:bottom w:w="0" w:type="dxa"/>
            </w:tcMar>
            <w:vAlign w:val="center"/>
          </w:tcPr>
          <w:p w14:paraId="0464AEC7" w14:textId="77777777" w:rsidR="00422385" w:rsidRDefault="00000000" w:rsidP="00F20266">
            <w:pPr>
              <w:keepNext/>
              <w:keepLines/>
              <w:spacing w:after="0" w:line="240" w:lineRule="auto"/>
              <w:jc w:val="both"/>
            </w:pPr>
            <w:r>
              <w:rPr>
                <w:sz w:val="18"/>
              </w:rPr>
              <w:t>Naknade za rad članovima predstavničkih i izvršnih tijela i upravnih vijeća</w:t>
            </w:r>
          </w:p>
        </w:tc>
        <w:tc>
          <w:tcPr>
            <w:tcW w:w="700" w:type="dxa"/>
            <w:tcMar>
              <w:top w:w="0" w:type="dxa"/>
              <w:bottom w:w="0" w:type="dxa"/>
            </w:tcMar>
            <w:vAlign w:val="center"/>
          </w:tcPr>
          <w:p w14:paraId="2591ACA3" w14:textId="77777777" w:rsidR="00422385" w:rsidRDefault="00000000" w:rsidP="00F20266">
            <w:pPr>
              <w:keepNext/>
              <w:keepLines/>
              <w:spacing w:after="0" w:line="240" w:lineRule="auto"/>
              <w:jc w:val="both"/>
            </w:pPr>
            <w:r>
              <w:rPr>
                <w:sz w:val="18"/>
              </w:rPr>
              <w:t>32911</w:t>
            </w:r>
          </w:p>
        </w:tc>
        <w:tc>
          <w:tcPr>
            <w:tcW w:w="1860" w:type="dxa"/>
            <w:tcMar>
              <w:top w:w="0" w:type="dxa"/>
              <w:bottom w:w="0" w:type="dxa"/>
            </w:tcMar>
            <w:vAlign w:val="center"/>
          </w:tcPr>
          <w:p w14:paraId="6098ABDB" w14:textId="77777777" w:rsidR="00422385" w:rsidRDefault="00000000" w:rsidP="00F20266">
            <w:pPr>
              <w:keepNext/>
              <w:keepLines/>
              <w:spacing w:after="0" w:line="240" w:lineRule="auto"/>
              <w:jc w:val="both"/>
            </w:pPr>
            <w:r>
              <w:rPr>
                <w:sz w:val="18"/>
              </w:rPr>
              <w:t>19.987,35</w:t>
            </w:r>
          </w:p>
        </w:tc>
        <w:tc>
          <w:tcPr>
            <w:tcW w:w="1860" w:type="dxa"/>
            <w:tcMar>
              <w:top w:w="0" w:type="dxa"/>
              <w:bottom w:w="0" w:type="dxa"/>
            </w:tcMar>
            <w:vAlign w:val="center"/>
          </w:tcPr>
          <w:p w14:paraId="5C05EBC7" w14:textId="77777777" w:rsidR="00422385" w:rsidRDefault="00000000" w:rsidP="00F20266">
            <w:pPr>
              <w:keepNext/>
              <w:keepLines/>
              <w:spacing w:after="0" w:line="240" w:lineRule="auto"/>
              <w:jc w:val="both"/>
            </w:pPr>
            <w:r>
              <w:rPr>
                <w:sz w:val="18"/>
              </w:rPr>
              <w:t>39.658,05</w:t>
            </w:r>
          </w:p>
        </w:tc>
        <w:tc>
          <w:tcPr>
            <w:tcW w:w="700" w:type="dxa"/>
            <w:tcMar>
              <w:top w:w="0" w:type="dxa"/>
              <w:bottom w:w="0" w:type="dxa"/>
            </w:tcMar>
            <w:vAlign w:val="center"/>
          </w:tcPr>
          <w:p w14:paraId="6A331326" w14:textId="77777777" w:rsidR="00422385" w:rsidRDefault="00000000" w:rsidP="00F20266">
            <w:pPr>
              <w:keepNext/>
              <w:keepLines/>
              <w:spacing w:after="0" w:line="240" w:lineRule="auto"/>
              <w:jc w:val="both"/>
            </w:pPr>
            <w:r>
              <w:rPr>
                <w:sz w:val="18"/>
              </w:rPr>
              <w:t>198,4</w:t>
            </w:r>
          </w:p>
        </w:tc>
      </w:tr>
    </w:tbl>
    <w:p w14:paraId="76ECA6DE" w14:textId="77777777" w:rsidR="00422385" w:rsidRDefault="00422385" w:rsidP="00F20266">
      <w:pPr>
        <w:spacing w:after="0"/>
        <w:jc w:val="both"/>
      </w:pPr>
    </w:p>
    <w:p w14:paraId="6FCA88F5" w14:textId="77777777" w:rsidR="00422385" w:rsidRDefault="00000000" w:rsidP="00F20266">
      <w:pPr>
        <w:jc w:val="both"/>
      </w:pPr>
      <w:r>
        <w:t>Kao što je prije pojašnjeno, u 2025. godini bili su održani lokalni izbori i slijedno tome povećani su i naknade za rad članovima predstavničkih i izvršnih tijela i upravnih vijeća, za 98,4% u odnosu na 2024. godinu.</w:t>
      </w:r>
    </w:p>
    <w:p w14:paraId="47F51803" w14:textId="77777777" w:rsidR="00422385" w:rsidRDefault="00422385" w:rsidP="00F20266">
      <w:pPr>
        <w:jc w:val="both"/>
      </w:pPr>
    </w:p>
    <w:p w14:paraId="20A7126B" w14:textId="77777777" w:rsidR="00422385" w:rsidRDefault="00000000" w:rsidP="00F20266">
      <w:pPr>
        <w:keepNext/>
        <w:spacing w:line="240" w:lineRule="auto"/>
        <w:jc w:val="both"/>
      </w:pPr>
      <w:r>
        <w:rPr>
          <w:sz w:val="28"/>
        </w:rPr>
        <w:lastRenderedPageBreak/>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5C750721" w14:textId="77777777">
        <w:trPr>
          <w:cantSplit/>
        </w:trPr>
        <w:tc>
          <w:tcPr>
            <w:tcW w:w="700" w:type="dxa"/>
            <w:shd w:val="clear" w:color="auto" w:fill="E7F0F9"/>
            <w:tcMar>
              <w:top w:w="0" w:type="dxa"/>
              <w:bottom w:w="0" w:type="dxa"/>
            </w:tcMar>
            <w:vAlign w:val="center"/>
          </w:tcPr>
          <w:p w14:paraId="447A58DB"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AF9610"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F1CA8BE"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982856D"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6F455893"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5263DF29" w14:textId="77777777" w:rsidR="00422385" w:rsidRDefault="00000000" w:rsidP="00F20266">
            <w:pPr>
              <w:keepNext/>
              <w:keepLines/>
              <w:spacing w:after="0" w:line="240" w:lineRule="auto"/>
              <w:jc w:val="both"/>
            </w:pPr>
            <w:r>
              <w:rPr>
                <w:b/>
                <w:sz w:val="18"/>
              </w:rPr>
              <w:t>Indeks (%)</w:t>
            </w:r>
          </w:p>
        </w:tc>
      </w:tr>
      <w:tr w:rsidR="00422385" w14:paraId="217AF84B" w14:textId="77777777">
        <w:trPr>
          <w:cantSplit/>
          <w:trHeight w:val="560"/>
        </w:trPr>
        <w:tc>
          <w:tcPr>
            <w:tcW w:w="700" w:type="dxa"/>
            <w:tcMar>
              <w:top w:w="0" w:type="dxa"/>
              <w:bottom w:w="0" w:type="dxa"/>
            </w:tcMar>
            <w:vAlign w:val="center"/>
          </w:tcPr>
          <w:p w14:paraId="109F51A9" w14:textId="77777777" w:rsidR="00422385" w:rsidRDefault="00000000" w:rsidP="00F20266">
            <w:pPr>
              <w:keepNext/>
              <w:keepLines/>
              <w:spacing w:after="0" w:line="240" w:lineRule="auto"/>
              <w:jc w:val="both"/>
            </w:pPr>
            <w:r>
              <w:rPr>
                <w:sz w:val="18"/>
              </w:rPr>
              <w:t>35232</w:t>
            </w:r>
          </w:p>
        </w:tc>
        <w:tc>
          <w:tcPr>
            <w:tcW w:w="3180" w:type="dxa"/>
            <w:tcMar>
              <w:top w:w="0" w:type="dxa"/>
              <w:bottom w:w="0" w:type="dxa"/>
            </w:tcMar>
            <w:vAlign w:val="center"/>
          </w:tcPr>
          <w:p w14:paraId="4B0C7D9C" w14:textId="77777777" w:rsidR="00422385" w:rsidRDefault="00000000" w:rsidP="00F20266">
            <w:pPr>
              <w:keepNext/>
              <w:keepLines/>
              <w:spacing w:after="0" w:line="240" w:lineRule="auto"/>
              <w:jc w:val="both"/>
            </w:pPr>
            <w:r>
              <w:rPr>
                <w:sz w:val="18"/>
              </w:rPr>
              <w:t>Subvencije obrtnicima</w:t>
            </w:r>
          </w:p>
        </w:tc>
        <w:tc>
          <w:tcPr>
            <w:tcW w:w="700" w:type="dxa"/>
            <w:tcMar>
              <w:top w:w="0" w:type="dxa"/>
              <w:bottom w:w="0" w:type="dxa"/>
            </w:tcMar>
            <w:vAlign w:val="center"/>
          </w:tcPr>
          <w:p w14:paraId="393BB2DF" w14:textId="77777777" w:rsidR="00422385" w:rsidRDefault="00000000" w:rsidP="00F20266">
            <w:pPr>
              <w:keepNext/>
              <w:keepLines/>
              <w:spacing w:after="0" w:line="240" w:lineRule="auto"/>
              <w:jc w:val="both"/>
            </w:pPr>
            <w:r>
              <w:rPr>
                <w:sz w:val="18"/>
              </w:rPr>
              <w:t>35232</w:t>
            </w:r>
          </w:p>
        </w:tc>
        <w:tc>
          <w:tcPr>
            <w:tcW w:w="1860" w:type="dxa"/>
            <w:tcMar>
              <w:top w:w="0" w:type="dxa"/>
              <w:bottom w:w="0" w:type="dxa"/>
            </w:tcMar>
            <w:vAlign w:val="center"/>
          </w:tcPr>
          <w:p w14:paraId="4249EFC0" w14:textId="77777777" w:rsidR="00422385" w:rsidRDefault="00000000" w:rsidP="00F20266">
            <w:pPr>
              <w:keepNext/>
              <w:keepLines/>
              <w:spacing w:after="0" w:line="240" w:lineRule="auto"/>
              <w:jc w:val="both"/>
            </w:pPr>
            <w:r>
              <w:rPr>
                <w:sz w:val="18"/>
              </w:rPr>
              <w:t>0,00</w:t>
            </w:r>
          </w:p>
        </w:tc>
        <w:tc>
          <w:tcPr>
            <w:tcW w:w="1860" w:type="dxa"/>
            <w:tcMar>
              <w:top w:w="0" w:type="dxa"/>
              <w:bottom w:w="0" w:type="dxa"/>
            </w:tcMar>
            <w:vAlign w:val="center"/>
          </w:tcPr>
          <w:p w14:paraId="297F7151" w14:textId="77777777" w:rsidR="00422385" w:rsidRDefault="00000000" w:rsidP="00F20266">
            <w:pPr>
              <w:keepNext/>
              <w:keepLines/>
              <w:spacing w:after="0" w:line="240" w:lineRule="auto"/>
              <w:jc w:val="both"/>
            </w:pPr>
            <w:r>
              <w:rPr>
                <w:sz w:val="18"/>
              </w:rPr>
              <w:t>3.981,69</w:t>
            </w:r>
          </w:p>
        </w:tc>
        <w:tc>
          <w:tcPr>
            <w:tcW w:w="700" w:type="dxa"/>
            <w:tcMar>
              <w:top w:w="0" w:type="dxa"/>
              <w:bottom w:w="0" w:type="dxa"/>
            </w:tcMar>
            <w:vAlign w:val="center"/>
          </w:tcPr>
          <w:p w14:paraId="192AFEBB" w14:textId="77777777" w:rsidR="00422385" w:rsidRDefault="00000000" w:rsidP="00F20266">
            <w:pPr>
              <w:keepNext/>
              <w:keepLines/>
              <w:spacing w:after="0" w:line="240" w:lineRule="auto"/>
              <w:jc w:val="both"/>
            </w:pPr>
            <w:r>
              <w:rPr>
                <w:sz w:val="18"/>
              </w:rPr>
              <w:t>-</w:t>
            </w:r>
          </w:p>
        </w:tc>
      </w:tr>
    </w:tbl>
    <w:p w14:paraId="05941D1B" w14:textId="77777777" w:rsidR="00422385" w:rsidRDefault="00422385" w:rsidP="00F20266">
      <w:pPr>
        <w:spacing w:after="0"/>
        <w:jc w:val="both"/>
      </w:pPr>
    </w:p>
    <w:p w14:paraId="1E2D4FB4" w14:textId="77777777" w:rsidR="00422385" w:rsidRDefault="00000000" w:rsidP="00F20266">
      <w:pPr>
        <w:jc w:val="both"/>
      </w:pPr>
      <w:r>
        <w:t>U 2024. godini nije bilo isplata subvencija obrtnicima, dok u 2025. godini bili su isplaćeni poticaji u visini od 3.981,69 EUR.</w:t>
      </w:r>
    </w:p>
    <w:p w14:paraId="4B577D63" w14:textId="77777777" w:rsidR="00422385" w:rsidRDefault="00422385" w:rsidP="00F20266">
      <w:pPr>
        <w:jc w:val="both"/>
      </w:pPr>
    </w:p>
    <w:p w14:paraId="7672265D" w14:textId="77777777" w:rsidR="00422385" w:rsidRDefault="00000000" w:rsidP="00F20266">
      <w:pPr>
        <w:keepNext/>
        <w:spacing w:line="240" w:lineRule="auto"/>
        <w:jc w:val="both"/>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066F4E4C" w14:textId="77777777">
        <w:trPr>
          <w:cantSplit/>
        </w:trPr>
        <w:tc>
          <w:tcPr>
            <w:tcW w:w="700" w:type="dxa"/>
            <w:shd w:val="clear" w:color="auto" w:fill="E7F0F9"/>
            <w:tcMar>
              <w:top w:w="0" w:type="dxa"/>
              <w:bottom w:w="0" w:type="dxa"/>
            </w:tcMar>
            <w:vAlign w:val="center"/>
          </w:tcPr>
          <w:p w14:paraId="1436B11A"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34FAE7"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88A3C32"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A34208F"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2CD1D1FC"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087187B1" w14:textId="77777777" w:rsidR="00422385" w:rsidRDefault="00000000" w:rsidP="00F20266">
            <w:pPr>
              <w:keepNext/>
              <w:keepLines/>
              <w:spacing w:after="0" w:line="240" w:lineRule="auto"/>
              <w:jc w:val="both"/>
            </w:pPr>
            <w:r>
              <w:rPr>
                <w:b/>
                <w:sz w:val="18"/>
              </w:rPr>
              <w:t>Indeks (%)</w:t>
            </w:r>
          </w:p>
        </w:tc>
      </w:tr>
      <w:tr w:rsidR="00422385" w14:paraId="39DD542B" w14:textId="77777777">
        <w:trPr>
          <w:cantSplit/>
          <w:trHeight w:val="560"/>
        </w:trPr>
        <w:tc>
          <w:tcPr>
            <w:tcW w:w="700" w:type="dxa"/>
            <w:tcMar>
              <w:top w:w="0" w:type="dxa"/>
              <w:bottom w:w="0" w:type="dxa"/>
            </w:tcMar>
            <w:vAlign w:val="center"/>
          </w:tcPr>
          <w:p w14:paraId="771B678A" w14:textId="77777777" w:rsidR="00422385" w:rsidRDefault="00000000" w:rsidP="00F20266">
            <w:pPr>
              <w:keepNext/>
              <w:keepLines/>
              <w:spacing w:after="0" w:line="240" w:lineRule="auto"/>
              <w:jc w:val="both"/>
            </w:pPr>
            <w:r>
              <w:rPr>
                <w:sz w:val="18"/>
              </w:rPr>
              <w:t>37219</w:t>
            </w:r>
          </w:p>
        </w:tc>
        <w:tc>
          <w:tcPr>
            <w:tcW w:w="3180" w:type="dxa"/>
            <w:tcMar>
              <w:top w:w="0" w:type="dxa"/>
              <w:bottom w:w="0" w:type="dxa"/>
            </w:tcMar>
            <w:vAlign w:val="center"/>
          </w:tcPr>
          <w:p w14:paraId="7160003B" w14:textId="77777777" w:rsidR="00422385" w:rsidRDefault="00000000" w:rsidP="00F20266">
            <w:pPr>
              <w:keepNext/>
              <w:keepLines/>
              <w:spacing w:after="0" w:line="240" w:lineRule="auto"/>
              <w:jc w:val="both"/>
            </w:pPr>
            <w:r>
              <w:rPr>
                <w:sz w:val="18"/>
              </w:rPr>
              <w:t>Ostale naknade iz proračuna u novcu</w:t>
            </w:r>
          </w:p>
        </w:tc>
        <w:tc>
          <w:tcPr>
            <w:tcW w:w="700" w:type="dxa"/>
            <w:tcMar>
              <w:top w:w="0" w:type="dxa"/>
              <w:bottom w:w="0" w:type="dxa"/>
            </w:tcMar>
            <w:vAlign w:val="center"/>
          </w:tcPr>
          <w:p w14:paraId="0AF5D53E" w14:textId="77777777" w:rsidR="00422385" w:rsidRDefault="00000000" w:rsidP="00F20266">
            <w:pPr>
              <w:keepNext/>
              <w:keepLines/>
              <w:spacing w:after="0" w:line="240" w:lineRule="auto"/>
              <w:jc w:val="both"/>
            </w:pPr>
            <w:r>
              <w:rPr>
                <w:sz w:val="18"/>
              </w:rPr>
              <w:t>37219</w:t>
            </w:r>
          </w:p>
        </w:tc>
        <w:tc>
          <w:tcPr>
            <w:tcW w:w="1860" w:type="dxa"/>
            <w:tcMar>
              <w:top w:w="0" w:type="dxa"/>
              <w:bottom w:w="0" w:type="dxa"/>
            </w:tcMar>
            <w:vAlign w:val="center"/>
          </w:tcPr>
          <w:p w14:paraId="14025E1A" w14:textId="77777777" w:rsidR="00422385" w:rsidRDefault="00000000" w:rsidP="00F20266">
            <w:pPr>
              <w:keepNext/>
              <w:keepLines/>
              <w:spacing w:after="0" w:line="240" w:lineRule="auto"/>
              <w:jc w:val="both"/>
            </w:pPr>
            <w:r>
              <w:rPr>
                <w:sz w:val="18"/>
              </w:rPr>
              <w:t>52.863,90</w:t>
            </w:r>
          </w:p>
        </w:tc>
        <w:tc>
          <w:tcPr>
            <w:tcW w:w="1860" w:type="dxa"/>
            <w:tcMar>
              <w:top w:w="0" w:type="dxa"/>
              <w:bottom w:w="0" w:type="dxa"/>
            </w:tcMar>
            <w:vAlign w:val="center"/>
          </w:tcPr>
          <w:p w14:paraId="39E0D639" w14:textId="77777777" w:rsidR="00422385" w:rsidRDefault="00000000" w:rsidP="00F20266">
            <w:pPr>
              <w:keepNext/>
              <w:keepLines/>
              <w:spacing w:after="0" w:line="240" w:lineRule="auto"/>
              <w:jc w:val="both"/>
            </w:pPr>
            <w:r>
              <w:rPr>
                <w:sz w:val="18"/>
              </w:rPr>
              <w:t>112.942,15</w:t>
            </w:r>
          </w:p>
        </w:tc>
        <w:tc>
          <w:tcPr>
            <w:tcW w:w="700" w:type="dxa"/>
            <w:tcMar>
              <w:top w:w="0" w:type="dxa"/>
              <w:bottom w:w="0" w:type="dxa"/>
            </w:tcMar>
            <w:vAlign w:val="center"/>
          </w:tcPr>
          <w:p w14:paraId="01872D31" w14:textId="77777777" w:rsidR="00422385" w:rsidRDefault="00000000" w:rsidP="00F20266">
            <w:pPr>
              <w:keepNext/>
              <w:keepLines/>
              <w:spacing w:after="0" w:line="240" w:lineRule="auto"/>
              <w:jc w:val="both"/>
            </w:pPr>
            <w:r>
              <w:rPr>
                <w:sz w:val="18"/>
              </w:rPr>
              <w:t>213,6</w:t>
            </w:r>
          </w:p>
        </w:tc>
      </w:tr>
    </w:tbl>
    <w:p w14:paraId="7AF2C545" w14:textId="77777777" w:rsidR="00422385" w:rsidRDefault="00422385" w:rsidP="00F20266">
      <w:pPr>
        <w:spacing w:after="0"/>
        <w:jc w:val="both"/>
      </w:pPr>
    </w:p>
    <w:p w14:paraId="4E86D097" w14:textId="77777777" w:rsidR="00422385" w:rsidRDefault="00000000" w:rsidP="00F20266">
      <w:pPr>
        <w:jc w:val="both"/>
      </w:pPr>
      <w:r>
        <w:t>Rashodi ostale naknade iz proračuna u novcu ostvarene su u iznosu od 112.942,15 EUR odnosno sa indeksom od 213,6 u odnosu na prošlu 2024. godinu.</w:t>
      </w:r>
    </w:p>
    <w:p w14:paraId="24FD19AF" w14:textId="77777777" w:rsidR="00422385" w:rsidRDefault="00000000" w:rsidP="00F20266">
      <w:pPr>
        <w:jc w:val="both"/>
      </w:pPr>
      <w:r>
        <w:t>U 2025. godini umirovljenicima su isplaćene novčane pomoći tijekom uskrsnih ali i božićnih blagdana, dok u 2024. godini su bile isplaćene samo novčane pomoći tijekom Božića.</w:t>
      </w:r>
      <w:r>
        <w:br/>
        <w:t> </w:t>
      </w:r>
    </w:p>
    <w:p w14:paraId="1CCF0679" w14:textId="77777777" w:rsidR="00422385" w:rsidRDefault="00422385" w:rsidP="00F20266">
      <w:pPr>
        <w:jc w:val="both"/>
      </w:pPr>
    </w:p>
    <w:p w14:paraId="4D3816C4" w14:textId="77777777" w:rsidR="00422385" w:rsidRDefault="00000000" w:rsidP="00F20266">
      <w:pPr>
        <w:keepNext/>
        <w:spacing w:line="240" w:lineRule="auto"/>
        <w:jc w:val="both"/>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001487B2" w14:textId="77777777">
        <w:trPr>
          <w:cantSplit/>
        </w:trPr>
        <w:tc>
          <w:tcPr>
            <w:tcW w:w="700" w:type="dxa"/>
            <w:shd w:val="clear" w:color="auto" w:fill="E7F0F9"/>
            <w:tcMar>
              <w:top w:w="0" w:type="dxa"/>
              <w:bottom w:w="0" w:type="dxa"/>
            </w:tcMar>
            <w:vAlign w:val="center"/>
          </w:tcPr>
          <w:p w14:paraId="7BCE29A0"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1FE9D2"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659D927"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FECB263"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66847EAB"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03FC45F5" w14:textId="77777777" w:rsidR="00422385" w:rsidRDefault="00000000" w:rsidP="00F20266">
            <w:pPr>
              <w:keepNext/>
              <w:keepLines/>
              <w:spacing w:after="0" w:line="240" w:lineRule="auto"/>
              <w:jc w:val="both"/>
            </w:pPr>
            <w:r>
              <w:rPr>
                <w:b/>
                <w:sz w:val="18"/>
              </w:rPr>
              <w:t>Indeks (%)</w:t>
            </w:r>
          </w:p>
        </w:tc>
      </w:tr>
      <w:tr w:rsidR="00422385" w14:paraId="1F8D7B1F" w14:textId="77777777">
        <w:trPr>
          <w:cantSplit/>
          <w:trHeight w:val="560"/>
        </w:trPr>
        <w:tc>
          <w:tcPr>
            <w:tcW w:w="700" w:type="dxa"/>
            <w:tcMar>
              <w:top w:w="0" w:type="dxa"/>
              <w:bottom w:w="0" w:type="dxa"/>
            </w:tcMar>
            <w:vAlign w:val="center"/>
          </w:tcPr>
          <w:p w14:paraId="2EA67A47" w14:textId="77777777" w:rsidR="00422385" w:rsidRDefault="00000000" w:rsidP="00F20266">
            <w:pPr>
              <w:keepNext/>
              <w:keepLines/>
              <w:spacing w:after="0" w:line="240" w:lineRule="auto"/>
              <w:jc w:val="both"/>
            </w:pPr>
            <w:r>
              <w:rPr>
                <w:sz w:val="18"/>
              </w:rPr>
              <w:t>84432</w:t>
            </w:r>
          </w:p>
        </w:tc>
        <w:tc>
          <w:tcPr>
            <w:tcW w:w="3180" w:type="dxa"/>
            <w:tcMar>
              <w:top w:w="0" w:type="dxa"/>
              <w:bottom w:w="0" w:type="dxa"/>
            </w:tcMar>
            <w:vAlign w:val="center"/>
          </w:tcPr>
          <w:p w14:paraId="43ADBBA1" w14:textId="77777777" w:rsidR="00422385" w:rsidRDefault="00000000" w:rsidP="00F20266">
            <w:pPr>
              <w:keepNext/>
              <w:keepLines/>
              <w:spacing w:after="0" w:line="240" w:lineRule="auto"/>
              <w:jc w:val="both"/>
            </w:pPr>
            <w:r>
              <w:rPr>
                <w:sz w:val="18"/>
              </w:rPr>
              <w:t>Primljeni krediti od tuzemnih kreditnih institucija izvan javnog sektora - dugoročni</w:t>
            </w:r>
          </w:p>
        </w:tc>
        <w:tc>
          <w:tcPr>
            <w:tcW w:w="700" w:type="dxa"/>
            <w:tcMar>
              <w:top w:w="0" w:type="dxa"/>
              <w:bottom w:w="0" w:type="dxa"/>
            </w:tcMar>
            <w:vAlign w:val="center"/>
          </w:tcPr>
          <w:p w14:paraId="7B03DBB0" w14:textId="77777777" w:rsidR="00422385" w:rsidRDefault="00000000" w:rsidP="00F20266">
            <w:pPr>
              <w:keepNext/>
              <w:keepLines/>
              <w:spacing w:after="0" w:line="240" w:lineRule="auto"/>
              <w:jc w:val="both"/>
            </w:pPr>
            <w:r>
              <w:rPr>
                <w:sz w:val="18"/>
              </w:rPr>
              <w:t>84432</w:t>
            </w:r>
          </w:p>
        </w:tc>
        <w:tc>
          <w:tcPr>
            <w:tcW w:w="1860" w:type="dxa"/>
            <w:tcMar>
              <w:top w:w="0" w:type="dxa"/>
              <w:bottom w:w="0" w:type="dxa"/>
            </w:tcMar>
            <w:vAlign w:val="center"/>
          </w:tcPr>
          <w:p w14:paraId="5E0FE4B9" w14:textId="77777777" w:rsidR="00422385" w:rsidRDefault="00000000" w:rsidP="00F20266">
            <w:pPr>
              <w:keepNext/>
              <w:keepLines/>
              <w:spacing w:after="0" w:line="240" w:lineRule="auto"/>
              <w:jc w:val="both"/>
            </w:pPr>
            <w:r>
              <w:rPr>
                <w:sz w:val="18"/>
              </w:rPr>
              <w:t>0,00</w:t>
            </w:r>
          </w:p>
        </w:tc>
        <w:tc>
          <w:tcPr>
            <w:tcW w:w="1860" w:type="dxa"/>
            <w:tcMar>
              <w:top w:w="0" w:type="dxa"/>
              <w:bottom w:w="0" w:type="dxa"/>
            </w:tcMar>
            <w:vAlign w:val="center"/>
          </w:tcPr>
          <w:p w14:paraId="22C67BBA" w14:textId="77777777" w:rsidR="00422385" w:rsidRDefault="00000000" w:rsidP="00F20266">
            <w:pPr>
              <w:keepNext/>
              <w:keepLines/>
              <w:spacing w:after="0" w:line="240" w:lineRule="auto"/>
              <w:jc w:val="both"/>
            </w:pPr>
            <w:r>
              <w:rPr>
                <w:sz w:val="18"/>
              </w:rPr>
              <w:t>522.930,92</w:t>
            </w:r>
          </w:p>
        </w:tc>
        <w:tc>
          <w:tcPr>
            <w:tcW w:w="700" w:type="dxa"/>
            <w:tcMar>
              <w:top w:w="0" w:type="dxa"/>
              <w:bottom w:w="0" w:type="dxa"/>
            </w:tcMar>
            <w:vAlign w:val="center"/>
          </w:tcPr>
          <w:p w14:paraId="33856557" w14:textId="77777777" w:rsidR="00422385" w:rsidRDefault="00000000" w:rsidP="00F20266">
            <w:pPr>
              <w:keepNext/>
              <w:keepLines/>
              <w:spacing w:after="0" w:line="240" w:lineRule="auto"/>
              <w:jc w:val="both"/>
            </w:pPr>
            <w:r>
              <w:rPr>
                <w:sz w:val="18"/>
              </w:rPr>
              <w:t>-</w:t>
            </w:r>
          </w:p>
        </w:tc>
      </w:tr>
    </w:tbl>
    <w:p w14:paraId="11B916CD" w14:textId="77777777" w:rsidR="00422385" w:rsidRDefault="00422385" w:rsidP="00F20266">
      <w:pPr>
        <w:spacing w:after="0"/>
        <w:jc w:val="both"/>
      </w:pPr>
    </w:p>
    <w:p w14:paraId="04AC7557" w14:textId="77777777" w:rsidR="00422385" w:rsidRDefault="00000000" w:rsidP="00F20266">
      <w:pPr>
        <w:jc w:val="both"/>
      </w:pPr>
      <w:r>
        <w:t xml:space="preserve">Općina Fažana je na jesen 2025. godine potpisala Ugovor o dugoročnom kreditu sa poslovnom bankom IKB Umag d.d., te u listopadu i prosincu realizirala sredstva za financiranje izgradnje prometnice San </w:t>
      </w:r>
      <w:proofErr w:type="spellStart"/>
      <w:r>
        <w:t>Pellegrino</w:t>
      </w:r>
      <w:proofErr w:type="spellEnd"/>
      <w:r>
        <w:t xml:space="preserve"> u Fažani, u navedenom iznosu.</w:t>
      </w:r>
    </w:p>
    <w:p w14:paraId="671E4D4A" w14:textId="77777777" w:rsidR="00422385" w:rsidRDefault="00422385" w:rsidP="00F20266">
      <w:pPr>
        <w:jc w:val="both"/>
      </w:pPr>
    </w:p>
    <w:p w14:paraId="1088030D" w14:textId="77777777" w:rsidR="00422385" w:rsidRDefault="00000000" w:rsidP="00F20266">
      <w:pPr>
        <w:keepNext/>
        <w:spacing w:line="240" w:lineRule="auto"/>
        <w:jc w:val="both"/>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40236CAD" w14:textId="77777777">
        <w:trPr>
          <w:cantSplit/>
        </w:trPr>
        <w:tc>
          <w:tcPr>
            <w:tcW w:w="700" w:type="dxa"/>
            <w:shd w:val="clear" w:color="auto" w:fill="E7F0F9"/>
            <w:tcMar>
              <w:top w:w="0" w:type="dxa"/>
              <w:bottom w:w="0" w:type="dxa"/>
            </w:tcMar>
            <w:vAlign w:val="center"/>
          </w:tcPr>
          <w:p w14:paraId="4CE9C42B"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17732C"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1AA38C1"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A4FE873"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669587A6"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1181EB10" w14:textId="77777777" w:rsidR="00422385" w:rsidRDefault="00000000" w:rsidP="00F20266">
            <w:pPr>
              <w:keepNext/>
              <w:keepLines/>
              <w:spacing w:after="0" w:line="240" w:lineRule="auto"/>
              <w:jc w:val="both"/>
            </w:pPr>
            <w:r>
              <w:rPr>
                <w:b/>
                <w:sz w:val="18"/>
              </w:rPr>
              <w:t>Indeks (%)</w:t>
            </w:r>
          </w:p>
        </w:tc>
      </w:tr>
      <w:tr w:rsidR="00422385" w14:paraId="1B7A2E66" w14:textId="77777777">
        <w:trPr>
          <w:cantSplit/>
          <w:trHeight w:val="560"/>
        </w:trPr>
        <w:tc>
          <w:tcPr>
            <w:tcW w:w="700" w:type="dxa"/>
            <w:tcMar>
              <w:top w:w="0" w:type="dxa"/>
              <w:bottom w:w="0" w:type="dxa"/>
            </w:tcMar>
            <w:vAlign w:val="center"/>
          </w:tcPr>
          <w:p w14:paraId="2A0CF49A" w14:textId="77777777" w:rsidR="00422385" w:rsidRDefault="00000000" w:rsidP="00F20266">
            <w:pPr>
              <w:keepNext/>
              <w:keepLines/>
              <w:spacing w:after="0" w:line="240" w:lineRule="auto"/>
              <w:jc w:val="both"/>
            </w:pPr>
            <w:r>
              <w:rPr>
                <w:sz w:val="18"/>
              </w:rPr>
              <w:t>54712</w:t>
            </w:r>
          </w:p>
        </w:tc>
        <w:tc>
          <w:tcPr>
            <w:tcW w:w="3180" w:type="dxa"/>
            <w:tcMar>
              <w:top w:w="0" w:type="dxa"/>
              <w:bottom w:w="0" w:type="dxa"/>
            </w:tcMar>
            <w:vAlign w:val="center"/>
          </w:tcPr>
          <w:p w14:paraId="4E1083EC" w14:textId="77777777" w:rsidR="00422385" w:rsidRDefault="00000000" w:rsidP="00F20266">
            <w:pPr>
              <w:keepNext/>
              <w:keepLines/>
              <w:spacing w:after="0" w:line="240" w:lineRule="auto"/>
              <w:jc w:val="both"/>
            </w:pPr>
            <w:r>
              <w:rPr>
                <w:sz w:val="18"/>
              </w:rPr>
              <w:t>Otplata glavnice primljenih zajmova od državnog proračuna – dugoročnih</w:t>
            </w:r>
          </w:p>
        </w:tc>
        <w:tc>
          <w:tcPr>
            <w:tcW w:w="700" w:type="dxa"/>
            <w:tcMar>
              <w:top w:w="0" w:type="dxa"/>
              <w:bottom w:w="0" w:type="dxa"/>
            </w:tcMar>
            <w:vAlign w:val="center"/>
          </w:tcPr>
          <w:p w14:paraId="6AA1D59D" w14:textId="77777777" w:rsidR="00422385" w:rsidRDefault="00000000" w:rsidP="00F20266">
            <w:pPr>
              <w:keepNext/>
              <w:keepLines/>
              <w:spacing w:after="0" w:line="240" w:lineRule="auto"/>
              <w:jc w:val="both"/>
            </w:pPr>
            <w:r>
              <w:rPr>
                <w:sz w:val="18"/>
              </w:rPr>
              <w:t>54712</w:t>
            </w:r>
          </w:p>
        </w:tc>
        <w:tc>
          <w:tcPr>
            <w:tcW w:w="1860" w:type="dxa"/>
            <w:tcMar>
              <w:top w:w="0" w:type="dxa"/>
              <w:bottom w:w="0" w:type="dxa"/>
            </w:tcMar>
            <w:vAlign w:val="center"/>
          </w:tcPr>
          <w:p w14:paraId="5D8CE2EB" w14:textId="77777777" w:rsidR="00422385" w:rsidRDefault="00000000" w:rsidP="00F20266">
            <w:pPr>
              <w:keepNext/>
              <w:keepLines/>
              <w:spacing w:after="0" w:line="240" w:lineRule="auto"/>
              <w:jc w:val="both"/>
            </w:pPr>
            <w:r>
              <w:rPr>
                <w:sz w:val="18"/>
              </w:rPr>
              <w:t>26.236,49</w:t>
            </w:r>
          </w:p>
        </w:tc>
        <w:tc>
          <w:tcPr>
            <w:tcW w:w="1860" w:type="dxa"/>
            <w:tcMar>
              <w:top w:w="0" w:type="dxa"/>
              <w:bottom w:w="0" w:type="dxa"/>
            </w:tcMar>
            <w:vAlign w:val="center"/>
          </w:tcPr>
          <w:p w14:paraId="00EA2705" w14:textId="77777777" w:rsidR="00422385" w:rsidRDefault="00000000" w:rsidP="00F20266">
            <w:pPr>
              <w:keepNext/>
              <w:keepLines/>
              <w:spacing w:after="0" w:line="240" w:lineRule="auto"/>
              <w:jc w:val="both"/>
            </w:pPr>
            <w:r>
              <w:rPr>
                <w:sz w:val="18"/>
              </w:rPr>
              <w:t>0,00</w:t>
            </w:r>
          </w:p>
        </w:tc>
        <w:tc>
          <w:tcPr>
            <w:tcW w:w="700" w:type="dxa"/>
            <w:tcMar>
              <w:top w:w="0" w:type="dxa"/>
              <w:bottom w:w="0" w:type="dxa"/>
            </w:tcMar>
            <w:vAlign w:val="center"/>
          </w:tcPr>
          <w:p w14:paraId="31E78F88" w14:textId="77777777" w:rsidR="00422385" w:rsidRDefault="00000000" w:rsidP="00F20266">
            <w:pPr>
              <w:keepNext/>
              <w:keepLines/>
              <w:spacing w:after="0" w:line="240" w:lineRule="auto"/>
              <w:jc w:val="both"/>
            </w:pPr>
            <w:r>
              <w:rPr>
                <w:sz w:val="18"/>
              </w:rPr>
              <w:t>0</w:t>
            </w:r>
          </w:p>
        </w:tc>
      </w:tr>
    </w:tbl>
    <w:p w14:paraId="3952C3CD" w14:textId="77777777" w:rsidR="00422385" w:rsidRDefault="00422385" w:rsidP="00F20266">
      <w:pPr>
        <w:spacing w:after="0"/>
        <w:jc w:val="both"/>
      </w:pPr>
    </w:p>
    <w:p w14:paraId="372E6F45" w14:textId="77777777" w:rsidR="00422385" w:rsidRDefault="00000000" w:rsidP="00F20266">
      <w:pPr>
        <w:jc w:val="both"/>
      </w:pPr>
      <w:r>
        <w:lastRenderedPageBreak/>
        <w:t xml:space="preserve">Općina Fažana je tijekom 2024. godine isplatila dug po osnovi zajma od Ministarstva financija za poreze tijekom pandemije </w:t>
      </w:r>
      <w:proofErr w:type="spellStart"/>
      <w:r>
        <w:t>Covid</w:t>
      </w:r>
      <w:proofErr w:type="spellEnd"/>
      <w:r>
        <w:t xml:space="preserve"> 19, te slijedno tome u 2025. godini nije bila isplata.</w:t>
      </w:r>
    </w:p>
    <w:p w14:paraId="0701CAC4" w14:textId="77777777" w:rsidR="00B721CA" w:rsidRDefault="00B721CA" w:rsidP="00B721CA">
      <w:pPr>
        <w:spacing w:line="259" w:lineRule="auto"/>
        <w:jc w:val="both"/>
        <w:rPr>
          <w:rFonts w:eastAsia="Calibri"/>
          <w:b/>
          <w:color w:val="2F5496"/>
          <w:sz w:val="28"/>
          <w:szCs w:val="28"/>
          <w:lang w:eastAsia="en-US"/>
        </w:rPr>
      </w:pPr>
    </w:p>
    <w:p w14:paraId="420978D9" w14:textId="77777777" w:rsidR="00B721CA" w:rsidRDefault="00B721CA" w:rsidP="00B721CA">
      <w:pPr>
        <w:spacing w:line="259" w:lineRule="auto"/>
        <w:jc w:val="both"/>
        <w:rPr>
          <w:rFonts w:eastAsia="Calibri"/>
          <w:b/>
          <w:color w:val="2F5496"/>
          <w:sz w:val="28"/>
          <w:szCs w:val="28"/>
          <w:lang w:eastAsia="en-US"/>
        </w:rPr>
      </w:pPr>
    </w:p>
    <w:p w14:paraId="22A41875" w14:textId="6ACC7DF8" w:rsidR="00B721CA" w:rsidRPr="00B721CA" w:rsidRDefault="00B721CA" w:rsidP="00B721CA">
      <w:pPr>
        <w:spacing w:line="259" w:lineRule="auto"/>
        <w:jc w:val="both"/>
        <w:rPr>
          <w:rFonts w:eastAsia="Calibri"/>
          <w:b/>
          <w:color w:val="2F5496"/>
          <w:sz w:val="28"/>
          <w:szCs w:val="28"/>
          <w:lang w:eastAsia="en-US"/>
        </w:rPr>
      </w:pPr>
      <w:r w:rsidRPr="00B721CA">
        <w:rPr>
          <w:rFonts w:eastAsia="Calibri"/>
          <w:b/>
          <w:color w:val="2F5496"/>
          <w:sz w:val="28"/>
          <w:szCs w:val="28"/>
          <w:lang w:eastAsia="en-US"/>
        </w:rPr>
        <w:t>FINANCIJSKI REZULTAT</w:t>
      </w:r>
    </w:p>
    <w:p w14:paraId="0C4B1540" w14:textId="77777777" w:rsidR="00B721CA" w:rsidRPr="00B721CA" w:rsidRDefault="00B721CA" w:rsidP="00B721CA">
      <w:pPr>
        <w:spacing w:after="0" w:line="259" w:lineRule="auto"/>
        <w:jc w:val="both"/>
        <w:rPr>
          <w:rFonts w:eastAsia="Calibri"/>
          <w:sz w:val="22"/>
          <w:szCs w:val="22"/>
          <w:lang w:eastAsia="en-US"/>
        </w:rPr>
      </w:pPr>
    </w:p>
    <w:p w14:paraId="377AFC70" w14:textId="2E8E8F5A" w:rsidR="00B721CA" w:rsidRPr="00B721CA" w:rsidRDefault="00B721CA" w:rsidP="00B721CA">
      <w:pPr>
        <w:spacing w:after="0" w:line="259" w:lineRule="auto"/>
        <w:jc w:val="both"/>
        <w:rPr>
          <w:rFonts w:eastAsia="Calibri"/>
          <w:b/>
          <w:bCs/>
          <w:sz w:val="22"/>
          <w:szCs w:val="22"/>
          <w:lang w:eastAsia="en-US"/>
        </w:rPr>
      </w:pPr>
      <w:r w:rsidRPr="00B721CA">
        <w:rPr>
          <w:rFonts w:eastAsia="Calibri"/>
          <w:b/>
          <w:bCs/>
          <w:sz w:val="22"/>
          <w:szCs w:val="22"/>
          <w:lang w:eastAsia="en-US"/>
        </w:rPr>
        <w:t>Višak prihoda poslovanja (X001)</w:t>
      </w:r>
      <w:r w:rsidRPr="00B721CA">
        <w:rPr>
          <w:rFonts w:eastAsia="Calibri"/>
          <w:b/>
          <w:bCs/>
          <w:sz w:val="22"/>
          <w:szCs w:val="22"/>
          <w:lang w:eastAsia="en-US"/>
        </w:rPr>
        <w:tab/>
      </w:r>
      <w:r w:rsidRPr="00B721CA">
        <w:rPr>
          <w:rFonts w:eastAsia="Calibri"/>
          <w:b/>
          <w:bCs/>
          <w:sz w:val="22"/>
          <w:szCs w:val="22"/>
          <w:lang w:eastAsia="en-US"/>
        </w:rPr>
        <w:tab/>
      </w:r>
      <w:r w:rsidRPr="00B721CA">
        <w:rPr>
          <w:rFonts w:eastAsia="Calibri"/>
          <w:b/>
          <w:bCs/>
          <w:sz w:val="22"/>
          <w:szCs w:val="22"/>
          <w:lang w:eastAsia="en-US"/>
        </w:rPr>
        <w:tab/>
        <w:t xml:space="preserve">                          2.</w:t>
      </w:r>
      <w:r>
        <w:rPr>
          <w:rFonts w:eastAsia="Calibri"/>
          <w:b/>
          <w:bCs/>
          <w:sz w:val="22"/>
          <w:szCs w:val="22"/>
          <w:lang w:eastAsia="en-US"/>
        </w:rPr>
        <w:t>291.628,66</w:t>
      </w:r>
      <w:r w:rsidRPr="00B721CA">
        <w:rPr>
          <w:rFonts w:eastAsia="Calibri"/>
          <w:b/>
          <w:bCs/>
          <w:sz w:val="22"/>
          <w:szCs w:val="22"/>
          <w:lang w:eastAsia="en-US"/>
        </w:rPr>
        <w:t xml:space="preserve"> EUR</w:t>
      </w:r>
    </w:p>
    <w:p w14:paraId="04331368" w14:textId="76C093D0" w:rsidR="00B721CA" w:rsidRPr="00B721CA" w:rsidRDefault="00B721CA" w:rsidP="00B721CA">
      <w:pPr>
        <w:spacing w:after="0" w:line="259" w:lineRule="auto"/>
        <w:jc w:val="both"/>
        <w:rPr>
          <w:rFonts w:eastAsia="Calibri"/>
          <w:b/>
          <w:bCs/>
          <w:sz w:val="22"/>
          <w:szCs w:val="22"/>
          <w:lang w:eastAsia="en-US"/>
        </w:rPr>
      </w:pPr>
      <w:r w:rsidRPr="00B721CA">
        <w:rPr>
          <w:rFonts w:eastAsia="Calibri"/>
          <w:b/>
          <w:bCs/>
          <w:sz w:val="22"/>
          <w:szCs w:val="22"/>
          <w:lang w:eastAsia="en-US"/>
        </w:rPr>
        <w:t>Manjak prihoda od nefinancijske imovine  (Y002)</w:t>
      </w:r>
      <w:r w:rsidRPr="00B721CA">
        <w:rPr>
          <w:rFonts w:eastAsia="Calibri"/>
          <w:b/>
          <w:bCs/>
          <w:sz w:val="22"/>
          <w:szCs w:val="22"/>
          <w:lang w:eastAsia="en-US"/>
        </w:rPr>
        <w:tab/>
        <w:t xml:space="preserve">                          2.6</w:t>
      </w:r>
      <w:r>
        <w:rPr>
          <w:rFonts w:eastAsia="Calibri"/>
          <w:b/>
          <w:bCs/>
          <w:sz w:val="22"/>
          <w:szCs w:val="22"/>
          <w:lang w:eastAsia="en-US"/>
        </w:rPr>
        <w:t>14</w:t>
      </w:r>
      <w:r w:rsidRPr="00B721CA">
        <w:rPr>
          <w:rFonts w:eastAsia="Calibri"/>
          <w:b/>
          <w:bCs/>
          <w:sz w:val="22"/>
          <w:szCs w:val="22"/>
          <w:lang w:eastAsia="en-US"/>
        </w:rPr>
        <w:t>.</w:t>
      </w:r>
      <w:r>
        <w:rPr>
          <w:rFonts w:eastAsia="Calibri"/>
          <w:b/>
          <w:bCs/>
          <w:sz w:val="22"/>
          <w:szCs w:val="22"/>
          <w:lang w:eastAsia="en-US"/>
        </w:rPr>
        <w:t>318</w:t>
      </w:r>
      <w:r w:rsidRPr="00B721CA">
        <w:rPr>
          <w:rFonts w:eastAsia="Calibri"/>
          <w:b/>
          <w:bCs/>
          <w:sz w:val="22"/>
          <w:szCs w:val="22"/>
          <w:lang w:eastAsia="en-US"/>
        </w:rPr>
        <w:t>,</w:t>
      </w:r>
      <w:r>
        <w:rPr>
          <w:rFonts w:eastAsia="Calibri"/>
          <w:b/>
          <w:bCs/>
          <w:sz w:val="22"/>
          <w:szCs w:val="22"/>
          <w:lang w:eastAsia="en-US"/>
        </w:rPr>
        <w:t>4</w:t>
      </w:r>
      <w:r w:rsidRPr="00B721CA">
        <w:rPr>
          <w:rFonts w:eastAsia="Calibri"/>
          <w:b/>
          <w:bCs/>
          <w:sz w:val="22"/>
          <w:szCs w:val="22"/>
          <w:lang w:eastAsia="en-US"/>
        </w:rPr>
        <w:t>1 EUR</w:t>
      </w:r>
    </w:p>
    <w:p w14:paraId="367C3188" w14:textId="4D515C54" w:rsidR="00B721CA" w:rsidRPr="00B721CA" w:rsidRDefault="00B721CA" w:rsidP="00B721CA">
      <w:pPr>
        <w:spacing w:after="0" w:line="259" w:lineRule="auto"/>
        <w:jc w:val="both"/>
        <w:rPr>
          <w:rFonts w:eastAsia="Calibri"/>
          <w:b/>
          <w:bCs/>
          <w:sz w:val="22"/>
          <w:szCs w:val="22"/>
          <w:lang w:eastAsia="en-US"/>
        </w:rPr>
      </w:pPr>
      <w:r>
        <w:rPr>
          <w:rFonts w:eastAsia="Calibri"/>
          <w:b/>
          <w:bCs/>
          <w:sz w:val="22"/>
          <w:szCs w:val="22"/>
          <w:lang w:eastAsia="en-US"/>
        </w:rPr>
        <w:t>Višak</w:t>
      </w:r>
      <w:r w:rsidRPr="00B721CA">
        <w:rPr>
          <w:rFonts w:eastAsia="Calibri"/>
          <w:b/>
          <w:bCs/>
          <w:sz w:val="22"/>
          <w:szCs w:val="22"/>
          <w:lang w:eastAsia="en-US"/>
        </w:rPr>
        <w:t xml:space="preserve"> primitaka od financijske imovine i zaduživanja (</w:t>
      </w:r>
      <w:r>
        <w:rPr>
          <w:rFonts w:eastAsia="Calibri"/>
          <w:b/>
          <w:bCs/>
          <w:sz w:val="22"/>
          <w:szCs w:val="22"/>
          <w:lang w:eastAsia="en-US"/>
        </w:rPr>
        <w:t>X</w:t>
      </w:r>
      <w:r w:rsidRPr="00B721CA">
        <w:rPr>
          <w:rFonts w:eastAsia="Calibri"/>
          <w:b/>
          <w:bCs/>
          <w:sz w:val="22"/>
          <w:szCs w:val="22"/>
          <w:lang w:eastAsia="en-US"/>
        </w:rPr>
        <w:t xml:space="preserve">003)            </w:t>
      </w:r>
      <w:r>
        <w:rPr>
          <w:rFonts w:eastAsia="Calibri"/>
          <w:b/>
          <w:bCs/>
          <w:sz w:val="22"/>
          <w:szCs w:val="22"/>
          <w:lang w:eastAsia="en-US"/>
        </w:rPr>
        <w:t xml:space="preserve">    444.221,40</w:t>
      </w:r>
      <w:r w:rsidRPr="00B721CA">
        <w:rPr>
          <w:rFonts w:eastAsia="Calibri"/>
          <w:b/>
          <w:bCs/>
          <w:sz w:val="22"/>
          <w:szCs w:val="22"/>
          <w:lang w:eastAsia="en-US"/>
        </w:rPr>
        <w:t xml:space="preserve"> EUR</w:t>
      </w:r>
    </w:p>
    <w:p w14:paraId="55850373" w14:textId="094DA0EC" w:rsidR="00B721CA" w:rsidRPr="00B721CA" w:rsidRDefault="00B721CA" w:rsidP="00B721CA">
      <w:pPr>
        <w:spacing w:after="0" w:line="259" w:lineRule="auto"/>
        <w:jc w:val="both"/>
        <w:rPr>
          <w:rFonts w:eastAsia="Calibri"/>
          <w:b/>
          <w:bCs/>
          <w:sz w:val="22"/>
          <w:szCs w:val="22"/>
          <w:lang w:eastAsia="en-US"/>
        </w:rPr>
      </w:pPr>
      <w:r>
        <w:rPr>
          <w:rFonts w:eastAsia="Calibri"/>
          <w:b/>
          <w:bCs/>
          <w:sz w:val="22"/>
          <w:szCs w:val="22"/>
          <w:lang w:eastAsia="en-US"/>
        </w:rPr>
        <w:t xml:space="preserve">Višak </w:t>
      </w:r>
      <w:r w:rsidRPr="00B721CA">
        <w:rPr>
          <w:rFonts w:eastAsia="Calibri"/>
          <w:b/>
          <w:bCs/>
          <w:sz w:val="22"/>
          <w:szCs w:val="22"/>
          <w:lang w:eastAsia="en-US"/>
        </w:rPr>
        <w:t>prihoda i primitaka (</w:t>
      </w:r>
      <w:r>
        <w:rPr>
          <w:rFonts w:eastAsia="Calibri"/>
          <w:b/>
          <w:bCs/>
          <w:sz w:val="22"/>
          <w:szCs w:val="22"/>
          <w:lang w:eastAsia="en-US"/>
        </w:rPr>
        <w:t>X</w:t>
      </w:r>
      <w:r w:rsidRPr="00B721CA">
        <w:rPr>
          <w:rFonts w:eastAsia="Calibri"/>
          <w:b/>
          <w:bCs/>
          <w:sz w:val="22"/>
          <w:szCs w:val="22"/>
          <w:lang w:eastAsia="en-US"/>
        </w:rPr>
        <w:t>005)</w:t>
      </w:r>
      <w:r w:rsidRPr="00B721CA">
        <w:rPr>
          <w:rFonts w:eastAsia="Calibri"/>
          <w:b/>
          <w:bCs/>
          <w:sz w:val="22"/>
          <w:szCs w:val="22"/>
          <w:lang w:eastAsia="en-US"/>
        </w:rPr>
        <w:tab/>
      </w:r>
      <w:r w:rsidRPr="00B721CA">
        <w:rPr>
          <w:rFonts w:eastAsia="Calibri"/>
          <w:b/>
          <w:bCs/>
          <w:sz w:val="22"/>
          <w:szCs w:val="22"/>
          <w:lang w:eastAsia="en-US"/>
        </w:rPr>
        <w:tab/>
      </w:r>
      <w:r w:rsidRPr="00B721CA">
        <w:rPr>
          <w:rFonts w:eastAsia="Calibri"/>
          <w:b/>
          <w:bCs/>
          <w:sz w:val="22"/>
          <w:szCs w:val="22"/>
          <w:lang w:eastAsia="en-US"/>
        </w:rPr>
        <w:tab/>
      </w:r>
      <w:r w:rsidRPr="00B721CA">
        <w:rPr>
          <w:rFonts w:eastAsia="Calibri"/>
          <w:b/>
          <w:bCs/>
          <w:sz w:val="22"/>
          <w:szCs w:val="22"/>
          <w:lang w:eastAsia="en-US"/>
        </w:rPr>
        <w:tab/>
      </w:r>
      <w:r w:rsidRPr="00B721CA">
        <w:rPr>
          <w:rFonts w:eastAsia="Calibri"/>
          <w:b/>
          <w:bCs/>
          <w:sz w:val="22"/>
          <w:szCs w:val="22"/>
          <w:lang w:eastAsia="en-US"/>
        </w:rPr>
        <w:tab/>
        <w:t xml:space="preserve">    </w:t>
      </w:r>
      <w:r>
        <w:rPr>
          <w:rFonts w:eastAsia="Calibri"/>
          <w:b/>
          <w:bCs/>
          <w:sz w:val="22"/>
          <w:szCs w:val="22"/>
          <w:lang w:eastAsia="en-US"/>
        </w:rPr>
        <w:t>121</w:t>
      </w:r>
      <w:r w:rsidRPr="00B721CA">
        <w:rPr>
          <w:rFonts w:eastAsia="Calibri"/>
          <w:b/>
          <w:bCs/>
          <w:sz w:val="22"/>
          <w:szCs w:val="22"/>
          <w:lang w:eastAsia="en-US"/>
        </w:rPr>
        <w:t>.</w:t>
      </w:r>
      <w:r>
        <w:rPr>
          <w:rFonts w:eastAsia="Calibri"/>
          <w:b/>
          <w:bCs/>
          <w:sz w:val="22"/>
          <w:szCs w:val="22"/>
          <w:lang w:eastAsia="en-US"/>
        </w:rPr>
        <w:t>531</w:t>
      </w:r>
      <w:r w:rsidRPr="00B721CA">
        <w:rPr>
          <w:rFonts w:eastAsia="Calibri"/>
          <w:b/>
          <w:bCs/>
          <w:sz w:val="22"/>
          <w:szCs w:val="22"/>
          <w:lang w:eastAsia="en-US"/>
        </w:rPr>
        <w:t>,</w:t>
      </w:r>
      <w:r>
        <w:rPr>
          <w:rFonts w:eastAsia="Calibri"/>
          <w:b/>
          <w:bCs/>
          <w:sz w:val="22"/>
          <w:szCs w:val="22"/>
          <w:lang w:eastAsia="en-US"/>
        </w:rPr>
        <w:t>65</w:t>
      </w:r>
      <w:r w:rsidRPr="00B721CA">
        <w:rPr>
          <w:rFonts w:eastAsia="Calibri"/>
          <w:b/>
          <w:bCs/>
          <w:sz w:val="22"/>
          <w:szCs w:val="22"/>
          <w:lang w:eastAsia="en-US"/>
        </w:rPr>
        <w:t xml:space="preserve"> EUR</w:t>
      </w:r>
    </w:p>
    <w:p w14:paraId="6AE232D5" w14:textId="77777777" w:rsidR="00B721CA" w:rsidRPr="00B721CA" w:rsidRDefault="00B721CA" w:rsidP="00B721CA">
      <w:pPr>
        <w:spacing w:after="0" w:line="259" w:lineRule="auto"/>
        <w:ind w:firstLine="708"/>
        <w:jc w:val="both"/>
        <w:rPr>
          <w:rFonts w:eastAsia="Calibri"/>
          <w:b/>
          <w:bCs/>
          <w:sz w:val="22"/>
          <w:szCs w:val="22"/>
          <w:lang w:eastAsia="en-US"/>
        </w:rPr>
      </w:pPr>
    </w:p>
    <w:p w14:paraId="02C51057" w14:textId="088FEFA9" w:rsidR="00B721CA" w:rsidRPr="00B721CA" w:rsidRDefault="00B721CA" w:rsidP="00B721CA">
      <w:pPr>
        <w:spacing w:after="0" w:line="259" w:lineRule="auto"/>
        <w:jc w:val="both"/>
        <w:rPr>
          <w:rFonts w:eastAsia="Calibri"/>
          <w:bCs/>
          <w:sz w:val="22"/>
          <w:szCs w:val="22"/>
          <w:lang w:eastAsia="en-US"/>
        </w:rPr>
      </w:pPr>
      <w:r w:rsidRPr="00B721CA">
        <w:rPr>
          <w:rFonts w:eastAsia="Calibri"/>
          <w:bCs/>
          <w:sz w:val="22"/>
          <w:szCs w:val="22"/>
          <w:lang w:eastAsia="en-US"/>
        </w:rPr>
        <w:t>Višak prihoda poslovanja   – preneseni</w:t>
      </w:r>
      <w:r w:rsidRPr="00B721CA">
        <w:rPr>
          <w:rFonts w:eastAsia="Calibri"/>
          <w:bCs/>
          <w:sz w:val="22"/>
          <w:szCs w:val="22"/>
          <w:lang w:eastAsia="en-US"/>
        </w:rPr>
        <w:tab/>
        <w:t xml:space="preserve">                      </w:t>
      </w:r>
      <w:r w:rsidRPr="00B721CA">
        <w:rPr>
          <w:rFonts w:eastAsia="Calibri"/>
          <w:bCs/>
          <w:sz w:val="22"/>
          <w:szCs w:val="22"/>
          <w:lang w:eastAsia="en-US"/>
        </w:rPr>
        <w:tab/>
        <w:t xml:space="preserve">          </w:t>
      </w:r>
      <w:r w:rsidRPr="00B721CA">
        <w:rPr>
          <w:rFonts w:eastAsia="Calibri"/>
          <w:bCs/>
          <w:sz w:val="22"/>
          <w:szCs w:val="22"/>
          <w:lang w:eastAsia="en-US"/>
        </w:rPr>
        <w:tab/>
        <w:t xml:space="preserve">               2.</w:t>
      </w:r>
      <w:r>
        <w:rPr>
          <w:rFonts w:eastAsia="Calibri"/>
          <w:bCs/>
          <w:sz w:val="22"/>
          <w:szCs w:val="22"/>
          <w:lang w:eastAsia="en-US"/>
        </w:rPr>
        <w:t>749.075,78</w:t>
      </w:r>
      <w:r w:rsidRPr="00B721CA">
        <w:rPr>
          <w:rFonts w:eastAsia="Calibri"/>
          <w:bCs/>
          <w:sz w:val="22"/>
          <w:szCs w:val="22"/>
          <w:lang w:eastAsia="en-US"/>
        </w:rPr>
        <w:t xml:space="preserve"> EUR</w:t>
      </w:r>
    </w:p>
    <w:p w14:paraId="5D108FED" w14:textId="6DB730FE" w:rsidR="00B721CA" w:rsidRPr="00B721CA" w:rsidRDefault="00B721CA" w:rsidP="00B721CA">
      <w:pPr>
        <w:spacing w:after="0" w:line="259" w:lineRule="auto"/>
        <w:jc w:val="both"/>
        <w:rPr>
          <w:rFonts w:eastAsia="Calibri"/>
          <w:bCs/>
          <w:sz w:val="22"/>
          <w:szCs w:val="22"/>
          <w:lang w:eastAsia="en-US"/>
        </w:rPr>
      </w:pPr>
      <w:r w:rsidRPr="00B721CA">
        <w:rPr>
          <w:rFonts w:eastAsia="Calibri"/>
          <w:bCs/>
          <w:sz w:val="22"/>
          <w:szCs w:val="22"/>
          <w:lang w:eastAsia="en-US"/>
        </w:rPr>
        <w:t>Višak prihoda od nefinancijske imovine  – preneseni</w:t>
      </w:r>
      <w:r w:rsidRPr="00B721CA">
        <w:rPr>
          <w:rFonts w:eastAsia="Calibri"/>
          <w:bCs/>
          <w:sz w:val="22"/>
          <w:szCs w:val="22"/>
          <w:lang w:eastAsia="en-US"/>
        </w:rPr>
        <w:tab/>
      </w:r>
      <w:r w:rsidRPr="00B721CA">
        <w:rPr>
          <w:rFonts w:eastAsia="Calibri"/>
          <w:bCs/>
          <w:sz w:val="22"/>
          <w:szCs w:val="22"/>
          <w:lang w:eastAsia="en-US"/>
        </w:rPr>
        <w:tab/>
      </w:r>
      <w:r w:rsidRPr="00B721CA">
        <w:rPr>
          <w:rFonts w:eastAsia="Calibri"/>
          <w:bCs/>
          <w:sz w:val="22"/>
          <w:szCs w:val="22"/>
          <w:lang w:eastAsia="en-US"/>
        </w:rPr>
        <w:tab/>
        <w:t xml:space="preserve">  </w:t>
      </w:r>
      <w:r>
        <w:rPr>
          <w:rFonts w:eastAsia="Calibri"/>
          <w:bCs/>
          <w:sz w:val="22"/>
          <w:szCs w:val="22"/>
          <w:lang w:eastAsia="en-US"/>
        </w:rPr>
        <w:t xml:space="preserve">   471.911,54</w:t>
      </w:r>
      <w:r w:rsidRPr="00B721CA">
        <w:rPr>
          <w:rFonts w:eastAsia="Calibri"/>
          <w:bCs/>
          <w:sz w:val="22"/>
          <w:szCs w:val="22"/>
          <w:lang w:eastAsia="en-US"/>
        </w:rPr>
        <w:t xml:space="preserve"> EUR</w:t>
      </w:r>
    </w:p>
    <w:p w14:paraId="5F6E6B63" w14:textId="43A14208" w:rsidR="00B721CA" w:rsidRPr="00B721CA" w:rsidRDefault="00B721CA" w:rsidP="00B721CA">
      <w:pPr>
        <w:spacing w:after="0" w:line="259" w:lineRule="auto"/>
        <w:jc w:val="both"/>
        <w:rPr>
          <w:rFonts w:eastAsia="Calibri"/>
          <w:bCs/>
          <w:sz w:val="22"/>
          <w:szCs w:val="22"/>
          <w:lang w:eastAsia="en-US"/>
        </w:rPr>
      </w:pPr>
      <w:r w:rsidRPr="00B721CA">
        <w:rPr>
          <w:rFonts w:eastAsia="Calibri"/>
          <w:bCs/>
          <w:sz w:val="22"/>
          <w:szCs w:val="22"/>
          <w:lang w:eastAsia="en-US"/>
        </w:rPr>
        <w:t>Višak primitaka od financijske imovine i zaduživanja – preneseni</w:t>
      </w:r>
      <w:r w:rsidRPr="00B721CA">
        <w:rPr>
          <w:rFonts w:eastAsia="Calibri"/>
          <w:bCs/>
          <w:sz w:val="22"/>
          <w:szCs w:val="22"/>
          <w:lang w:eastAsia="en-US"/>
        </w:rPr>
        <w:tab/>
        <w:t xml:space="preserve">    </w:t>
      </w:r>
      <w:r>
        <w:rPr>
          <w:rFonts w:eastAsia="Calibri"/>
          <w:bCs/>
          <w:sz w:val="22"/>
          <w:szCs w:val="22"/>
          <w:lang w:eastAsia="en-US"/>
        </w:rPr>
        <w:t xml:space="preserve"> </w:t>
      </w:r>
      <w:r w:rsidRPr="00B721CA">
        <w:rPr>
          <w:rFonts w:eastAsia="Calibri"/>
          <w:bCs/>
          <w:sz w:val="22"/>
          <w:szCs w:val="22"/>
          <w:lang w:eastAsia="en-US"/>
        </w:rPr>
        <w:t>204.022,82 EUR.</w:t>
      </w:r>
    </w:p>
    <w:p w14:paraId="2A1AA236" w14:textId="77777777" w:rsidR="00B721CA" w:rsidRPr="00B721CA" w:rsidRDefault="00B721CA" w:rsidP="00B721CA">
      <w:pPr>
        <w:spacing w:after="0" w:line="259" w:lineRule="auto"/>
        <w:ind w:firstLine="708"/>
        <w:jc w:val="both"/>
        <w:rPr>
          <w:rFonts w:eastAsia="Calibri"/>
          <w:b/>
          <w:szCs w:val="24"/>
          <w:lang w:eastAsia="en-US"/>
        </w:rPr>
      </w:pPr>
    </w:p>
    <w:p w14:paraId="5ACDC503" w14:textId="4EBC9883" w:rsidR="00B721CA" w:rsidRPr="00B721CA" w:rsidRDefault="00B721CA" w:rsidP="004B395F">
      <w:pPr>
        <w:shd w:val="clear" w:color="auto" w:fill="E2EFD9" w:themeFill="accent6" w:themeFillTint="33"/>
        <w:spacing w:after="0" w:line="259" w:lineRule="auto"/>
        <w:jc w:val="both"/>
        <w:rPr>
          <w:rFonts w:eastAsia="Calibri"/>
          <w:b/>
          <w:bCs/>
          <w:sz w:val="28"/>
          <w:szCs w:val="28"/>
          <w:lang w:eastAsia="en-US"/>
        </w:rPr>
      </w:pPr>
      <w:r w:rsidRPr="00B721CA">
        <w:rPr>
          <w:rFonts w:eastAsia="Calibri"/>
          <w:b/>
          <w:bCs/>
          <w:sz w:val="28"/>
          <w:szCs w:val="28"/>
          <w:lang w:eastAsia="en-US"/>
        </w:rPr>
        <w:t>VIŠAK PRIHODA I PRIMITAKA RASPOLOŽIV u slijedećem razdoblju (X006)   3.</w:t>
      </w:r>
      <w:r w:rsidRPr="004B395F">
        <w:rPr>
          <w:rFonts w:eastAsia="Calibri"/>
          <w:b/>
          <w:bCs/>
          <w:sz w:val="28"/>
          <w:szCs w:val="28"/>
          <w:lang w:eastAsia="en-US"/>
        </w:rPr>
        <w:t>546.541,79</w:t>
      </w:r>
      <w:r w:rsidRPr="00B721CA">
        <w:rPr>
          <w:rFonts w:eastAsia="Calibri"/>
          <w:b/>
          <w:bCs/>
          <w:sz w:val="28"/>
          <w:szCs w:val="28"/>
          <w:lang w:eastAsia="en-US"/>
        </w:rPr>
        <w:t xml:space="preserve"> EUR!</w:t>
      </w:r>
    </w:p>
    <w:p w14:paraId="625D1601" w14:textId="77777777" w:rsidR="002062DF" w:rsidRDefault="002062DF" w:rsidP="00F20266">
      <w:pPr>
        <w:jc w:val="both"/>
      </w:pPr>
    </w:p>
    <w:p w14:paraId="76B8D665" w14:textId="77777777" w:rsidR="00B721CA" w:rsidRDefault="00B721CA" w:rsidP="00F20266">
      <w:pPr>
        <w:jc w:val="both"/>
      </w:pPr>
    </w:p>
    <w:p w14:paraId="4E949EEE" w14:textId="77777777" w:rsidR="00422385" w:rsidRDefault="00000000" w:rsidP="00F20266">
      <w:pPr>
        <w:keepNext/>
        <w:spacing w:line="240" w:lineRule="auto"/>
        <w:jc w:val="both"/>
      </w:pPr>
      <w:r>
        <w:rPr>
          <w:b/>
          <w:sz w:val="28"/>
        </w:rPr>
        <w:t>Bilanca</w:t>
      </w:r>
    </w:p>
    <w:p w14:paraId="36A1E73B" w14:textId="77777777" w:rsidR="00422385" w:rsidRDefault="00000000" w:rsidP="00F20266">
      <w:pPr>
        <w:keepNext/>
        <w:spacing w:line="240" w:lineRule="auto"/>
        <w:jc w:val="both"/>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45D586D2" w14:textId="77777777">
        <w:trPr>
          <w:cantSplit/>
        </w:trPr>
        <w:tc>
          <w:tcPr>
            <w:tcW w:w="700" w:type="dxa"/>
            <w:shd w:val="clear" w:color="auto" w:fill="E7F0F9"/>
            <w:tcMar>
              <w:top w:w="0" w:type="dxa"/>
              <w:bottom w:w="0" w:type="dxa"/>
            </w:tcMar>
            <w:vAlign w:val="center"/>
          </w:tcPr>
          <w:p w14:paraId="7C3082F2"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1C66D0"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8A11ECB"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8271481" w14:textId="77777777" w:rsidR="00422385" w:rsidRDefault="00000000" w:rsidP="00F20266">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0E4A9300" w14:textId="77777777" w:rsidR="00422385" w:rsidRDefault="00000000" w:rsidP="00F20266">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5DF61D79" w14:textId="77777777" w:rsidR="00422385" w:rsidRDefault="00000000" w:rsidP="00F20266">
            <w:pPr>
              <w:keepNext/>
              <w:keepLines/>
              <w:spacing w:after="0" w:line="240" w:lineRule="auto"/>
              <w:jc w:val="both"/>
            </w:pPr>
            <w:r>
              <w:rPr>
                <w:b/>
                <w:sz w:val="18"/>
              </w:rPr>
              <w:t>Indeks (%)</w:t>
            </w:r>
          </w:p>
        </w:tc>
      </w:tr>
      <w:tr w:rsidR="00422385" w14:paraId="78629344" w14:textId="77777777">
        <w:trPr>
          <w:cantSplit/>
          <w:trHeight w:val="560"/>
        </w:trPr>
        <w:tc>
          <w:tcPr>
            <w:tcW w:w="700" w:type="dxa"/>
            <w:tcMar>
              <w:top w:w="0" w:type="dxa"/>
              <w:bottom w:w="0" w:type="dxa"/>
            </w:tcMar>
            <w:vAlign w:val="center"/>
          </w:tcPr>
          <w:p w14:paraId="2BA1F44A" w14:textId="77777777" w:rsidR="00422385" w:rsidRDefault="00422385" w:rsidP="00F20266">
            <w:pPr>
              <w:keepNext/>
              <w:keepLines/>
              <w:spacing w:after="0" w:line="240" w:lineRule="auto"/>
              <w:jc w:val="both"/>
            </w:pPr>
          </w:p>
        </w:tc>
        <w:tc>
          <w:tcPr>
            <w:tcW w:w="3180" w:type="dxa"/>
            <w:tcMar>
              <w:top w:w="0" w:type="dxa"/>
              <w:bottom w:w="0" w:type="dxa"/>
            </w:tcMar>
            <w:vAlign w:val="center"/>
          </w:tcPr>
          <w:p w14:paraId="7F259817" w14:textId="77777777" w:rsidR="00422385" w:rsidRDefault="00000000" w:rsidP="00F20266">
            <w:pPr>
              <w:keepNext/>
              <w:keepLines/>
              <w:spacing w:after="0" w:line="240" w:lineRule="auto"/>
              <w:jc w:val="both"/>
            </w:pPr>
            <w:r>
              <w:rPr>
                <w:sz w:val="18"/>
              </w:rPr>
              <w:t>IMOVINA (šifre B002+1)</w:t>
            </w:r>
          </w:p>
        </w:tc>
        <w:tc>
          <w:tcPr>
            <w:tcW w:w="700" w:type="dxa"/>
            <w:tcMar>
              <w:top w:w="0" w:type="dxa"/>
              <w:bottom w:w="0" w:type="dxa"/>
            </w:tcMar>
            <w:vAlign w:val="center"/>
          </w:tcPr>
          <w:p w14:paraId="6048A90F" w14:textId="77777777" w:rsidR="00422385" w:rsidRDefault="00000000" w:rsidP="00F20266">
            <w:pPr>
              <w:keepNext/>
              <w:keepLines/>
              <w:spacing w:after="0" w:line="240" w:lineRule="auto"/>
              <w:jc w:val="both"/>
            </w:pPr>
            <w:r>
              <w:rPr>
                <w:sz w:val="18"/>
              </w:rPr>
              <w:t>B001</w:t>
            </w:r>
          </w:p>
        </w:tc>
        <w:tc>
          <w:tcPr>
            <w:tcW w:w="1860" w:type="dxa"/>
            <w:tcMar>
              <w:top w:w="0" w:type="dxa"/>
              <w:bottom w:w="0" w:type="dxa"/>
            </w:tcMar>
            <w:vAlign w:val="center"/>
          </w:tcPr>
          <w:p w14:paraId="5E8A8448" w14:textId="77777777" w:rsidR="00422385" w:rsidRDefault="00000000" w:rsidP="00F20266">
            <w:pPr>
              <w:keepNext/>
              <w:keepLines/>
              <w:spacing w:after="0" w:line="240" w:lineRule="auto"/>
              <w:jc w:val="both"/>
            </w:pPr>
            <w:r>
              <w:rPr>
                <w:sz w:val="18"/>
              </w:rPr>
              <w:t>25.742.804,25</w:t>
            </w:r>
          </w:p>
        </w:tc>
        <w:tc>
          <w:tcPr>
            <w:tcW w:w="1860" w:type="dxa"/>
            <w:tcMar>
              <w:top w:w="0" w:type="dxa"/>
              <w:bottom w:w="0" w:type="dxa"/>
            </w:tcMar>
            <w:vAlign w:val="center"/>
          </w:tcPr>
          <w:p w14:paraId="0301A436" w14:textId="77777777" w:rsidR="00422385" w:rsidRDefault="00000000" w:rsidP="00F20266">
            <w:pPr>
              <w:keepNext/>
              <w:keepLines/>
              <w:spacing w:after="0" w:line="240" w:lineRule="auto"/>
              <w:jc w:val="both"/>
            </w:pPr>
            <w:r>
              <w:rPr>
                <w:sz w:val="18"/>
              </w:rPr>
              <w:t>39.273.009,22</w:t>
            </w:r>
          </w:p>
        </w:tc>
        <w:tc>
          <w:tcPr>
            <w:tcW w:w="700" w:type="dxa"/>
            <w:tcMar>
              <w:top w:w="0" w:type="dxa"/>
              <w:bottom w:w="0" w:type="dxa"/>
            </w:tcMar>
            <w:vAlign w:val="center"/>
          </w:tcPr>
          <w:p w14:paraId="71056E3A" w14:textId="77777777" w:rsidR="00422385" w:rsidRDefault="00000000" w:rsidP="00F20266">
            <w:pPr>
              <w:keepNext/>
              <w:keepLines/>
              <w:spacing w:after="0" w:line="240" w:lineRule="auto"/>
              <w:jc w:val="both"/>
            </w:pPr>
            <w:r>
              <w:rPr>
                <w:sz w:val="18"/>
              </w:rPr>
              <w:t>152,6</w:t>
            </w:r>
          </w:p>
        </w:tc>
      </w:tr>
    </w:tbl>
    <w:p w14:paraId="78B893B5" w14:textId="77777777" w:rsidR="00422385" w:rsidRDefault="00422385" w:rsidP="00F20266">
      <w:pPr>
        <w:spacing w:after="0"/>
        <w:jc w:val="both"/>
      </w:pPr>
    </w:p>
    <w:p w14:paraId="5C077845" w14:textId="77777777" w:rsidR="00422385" w:rsidRDefault="00000000" w:rsidP="00F20266">
      <w:pPr>
        <w:jc w:val="both"/>
      </w:pPr>
      <w:r>
        <w:t>IMOVINA BOO1  (šifre B002+1) je tijekom 2025. godine povećana sa 25.742.804,25 EUR na 39.273.009,22 EUR, što predstavlja povećanje od 52,6% u odnosu na kraj 2024. godine. Ukupnu vrijednost šifre B001 sačinjavaju vrijednost nefinancijske imovine koja je na kraju izvještajnog razdoblja iznosila 34.267.634,23 EUR i vrijednost financijske imovine koja je iznosila 5.005.374,99 EUR.</w:t>
      </w:r>
    </w:p>
    <w:p w14:paraId="259DD01A" w14:textId="77777777" w:rsidR="00422385" w:rsidRDefault="00000000" w:rsidP="00F20266">
      <w:pPr>
        <w:jc w:val="both"/>
      </w:pPr>
      <w:r>
        <w:t>Nefinancijska imovina je povećana za 65,8%, dok je financijska imovina smanjena za 1,4% u odnosu na kraj 2024. godine.</w:t>
      </w:r>
    </w:p>
    <w:p w14:paraId="3245318A" w14:textId="77777777" w:rsidR="00422385" w:rsidRDefault="00000000" w:rsidP="00F20266">
      <w:pPr>
        <w:jc w:val="both"/>
      </w:pPr>
      <w:r>
        <w:t> </w:t>
      </w:r>
    </w:p>
    <w:p w14:paraId="238A4889" w14:textId="77777777" w:rsidR="00422385" w:rsidRDefault="00000000" w:rsidP="00F20266">
      <w:pPr>
        <w:jc w:val="both"/>
      </w:pPr>
      <w:r>
        <w:t> </w:t>
      </w:r>
    </w:p>
    <w:p w14:paraId="0B0D7B9A" w14:textId="77777777" w:rsidR="00422385" w:rsidRDefault="00422385" w:rsidP="00F20266">
      <w:pPr>
        <w:jc w:val="both"/>
      </w:pPr>
    </w:p>
    <w:p w14:paraId="1F4B6F88" w14:textId="77777777" w:rsidR="00422385" w:rsidRDefault="00000000" w:rsidP="00F20266">
      <w:pPr>
        <w:keepNext/>
        <w:spacing w:line="240" w:lineRule="auto"/>
        <w:jc w:val="both"/>
      </w:pPr>
      <w:r>
        <w:rPr>
          <w:sz w:val="28"/>
        </w:rPr>
        <w:lastRenderedPageBreak/>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3D0A1357" w14:textId="77777777">
        <w:trPr>
          <w:cantSplit/>
        </w:trPr>
        <w:tc>
          <w:tcPr>
            <w:tcW w:w="700" w:type="dxa"/>
            <w:shd w:val="clear" w:color="auto" w:fill="E7F0F9"/>
            <w:tcMar>
              <w:top w:w="0" w:type="dxa"/>
              <w:bottom w:w="0" w:type="dxa"/>
            </w:tcMar>
            <w:vAlign w:val="center"/>
          </w:tcPr>
          <w:p w14:paraId="2C026ACE"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C835BA"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2C2190E"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B480AEC" w14:textId="77777777" w:rsidR="00422385" w:rsidRDefault="00000000" w:rsidP="00F20266">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25D7DB99" w14:textId="77777777" w:rsidR="00422385" w:rsidRDefault="00000000" w:rsidP="00F20266">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65104A95" w14:textId="77777777" w:rsidR="00422385" w:rsidRDefault="00000000" w:rsidP="00F20266">
            <w:pPr>
              <w:keepNext/>
              <w:keepLines/>
              <w:spacing w:after="0" w:line="240" w:lineRule="auto"/>
              <w:jc w:val="both"/>
            </w:pPr>
            <w:r>
              <w:rPr>
                <w:b/>
                <w:sz w:val="18"/>
              </w:rPr>
              <w:t>Indeks (%)</w:t>
            </w:r>
          </w:p>
        </w:tc>
      </w:tr>
      <w:tr w:rsidR="00422385" w14:paraId="5C726A4A" w14:textId="77777777">
        <w:trPr>
          <w:cantSplit/>
          <w:trHeight w:val="560"/>
        </w:trPr>
        <w:tc>
          <w:tcPr>
            <w:tcW w:w="700" w:type="dxa"/>
            <w:tcMar>
              <w:top w:w="0" w:type="dxa"/>
              <w:bottom w:w="0" w:type="dxa"/>
            </w:tcMar>
            <w:vAlign w:val="center"/>
          </w:tcPr>
          <w:p w14:paraId="4694C8F2" w14:textId="77777777" w:rsidR="00422385" w:rsidRDefault="00000000" w:rsidP="00F20266">
            <w:pPr>
              <w:keepNext/>
              <w:keepLines/>
              <w:spacing w:after="0" w:line="240" w:lineRule="auto"/>
              <w:jc w:val="both"/>
            </w:pPr>
            <w:r>
              <w:rPr>
                <w:sz w:val="18"/>
              </w:rPr>
              <w:t>0</w:t>
            </w:r>
          </w:p>
        </w:tc>
        <w:tc>
          <w:tcPr>
            <w:tcW w:w="3180" w:type="dxa"/>
            <w:tcMar>
              <w:top w:w="0" w:type="dxa"/>
              <w:bottom w:w="0" w:type="dxa"/>
            </w:tcMar>
            <w:vAlign w:val="center"/>
          </w:tcPr>
          <w:p w14:paraId="54EDCBAC" w14:textId="77777777" w:rsidR="00422385" w:rsidRDefault="00000000" w:rsidP="00F20266">
            <w:pPr>
              <w:keepNext/>
              <w:keepLines/>
              <w:spacing w:after="0" w:line="240" w:lineRule="auto"/>
              <w:jc w:val="both"/>
            </w:pPr>
            <w:r>
              <w:rPr>
                <w:sz w:val="18"/>
              </w:rPr>
              <w:t>Nefinancijska imovina (šifre 01+02+03+04+05+06)</w:t>
            </w:r>
          </w:p>
        </w:tc>
        <w:tc>
          <w:tcPr>
            <w:tcW w:w="700" w:type="dxa"/>
            <w:tcMar>
              <w:top w:w="0" w:type="dxa"/>
              <w:bottom w:w="0" w:type="dxa"/>
            </w:tcMar>
            <w:vAlign w:val="center"/>
          </w:tcPr>
          <w:p w14:paraId="41AB6492" w14:textId="77777777" w:rsidR="00422385" w:rsidRDefault="00000000" w:rsidP="00F20266">
            <w:pPr>
              <w:keepNext/>
              <w:keepLines/>
              <w:spacing w:after="0" w:line="240" w:lineRule="auto"/>
              <w:jc w:val="both"/>
            </w:pPr>
            <w:r>
              <w:rPr>
                <w:sz w:val="18"/>
              </w:rPr>
              <w:t>B002</w:t>
            </w:r>
          </w:p>
        </w:tc>
        <w:tc>
          <w:tcPr>
            <w:tcW w:w="1860" w:type="dxa"/>
            <w:tcMar>
              <w:top w:w="0" w:type="dxa"/>
              <w:bottom w:w="0" w:type="dxa"/>
            </w:tcMar>
            <w:vAlign w:val="center"/>
          </w:tcPr>
          <w:p w14:paraId="673DFBC5" w14:textId="77777777" w:rsidR="00422385" w:rsidRDefault="00000000" w:rsidP="00F20266">
            <w:pPr>
              <w:keepNext/>
              <w:keepLines/>
              <w:spacing w:after="0" w:line="240" w:lineRule="auto"/>
              <w:jc w:val="both"/>
            </w:pPr>
            <w:r>
              <w:rPr>
                <w:sz w:val="18"/>
              </w:rPr>
              <w:t>20.668.033,84</w:t>
            </w:r>
          </w:p>
        </w:tc>
        <w:tc>
          <w:tcPr>
            <w:tcW w:w="1860" w:type="dxa"/>
            <w:tcMar>
              <w:top w:w="0" w:type="dxa"/>
              <w:bottom w:w="0" w:type="dxa"/>
            </w:tcMar>
            <w:vAlign w:val="center"/>
          </w:tcPr>
          <w:p w14:paraId="4FF0A063" w14:textId="77777777" w:rsidR="00422385" w:rsidRDefault="00000000" w:rsidP="00F20266">
            <w:pPr>
              <w:keepNext/>
              <w:keepLines/>
              <w:spacing w:after="0" w:line="240" w:lineRule="auto"/>
              <w:jc w:val="both"/>
            </w:pPr>
            <w:r>
              <w:rPr>
                <w:sz w:val="18"/>
              </w:rPr>
              <w:t>34.267.634,23</w:t>
            </w:r>
          </w:p>
        </w:tc>
        <w:tc>
          <w:tcPr>
            <w:tcW w:w="700" w:type="dxa"/>
            <w:tcMar>
              <w:top w:w="0" w:type="dxa"/>
              <w:bottom w:w="0" w:type="dxa"/>
            </w:tcMar>
            <w:vAlign w:val="center"/>
          </w:tcPr>
          <w:p w14:paraId="5D45DE6A" w14:textId="77777777" w:rsidR="00422385" w:rsidRDefault="00000000" w:rsidP="00F20266">
            <w:pPr>
              <w:keepNext/>
              <w:keepLines/>
              <w:spacing w:after="0" w:line="240" w:lineRule="auto"/>
              <w:jc w:val="both"/>
            </w:pPr>
            <w:r>
              <w:rPr>
                <w:sz w:val="18"/>
              </w:rPr>
              <w:t>165,8</w:t>
            </w:r>
          </w:p>
        </w:tc>
      </w:tr>
    </w:tbl>
    <w:p w14:paraId="2C64744C" w14:textId="77777777" w:rsidR="00422385" w:rsidRDefault="00422385" w:rsidP="00F20266">
      <w:pPr>
        <w:spacing w:after="0"/>
        <w:jc w:val="both"/>
      </w:pPr>
    </w:p>
    <w:p w14:paraId="24CE522A" w14:textId="77777777" w:rsidR="00422385" w:rsidRDefault="00000000" w:rsidP="00F20266">
      <w:pPr>
        <w:jc w:val="both"/>
      </w:pPr>
      <w:r>
        <w:t>Nefinancijska imovina (šifre 01+02+03+04+05+06) šifre B002 na dan 31.prosinca 2025. godine ukupno je iznosila 34.267.634,23 EUR sa indeksom 165,8, odnosno povećanjem vrijednosti za 65,8% u odnosu na prethodnu 2024. godinu.</w:t>
      </w:r>
    </w:p>
    <w:p w14:paraId="1A32E4D6" w14:textId="77777777" w:rsidR="00422385" w:rsidRDefault="00000000" w:rsidP="00F20266">
      <w:pPr>
        <w:jc w:val="both"/>
      </w:pPr>
      <w:r>
        <w:t>Ogromno povećanje vrijednosti nefinancijske imovine za 13.599.600,39 EUR uslijedilo je zbog povećanja vrijednosti slijedećih stavaka u nefinancijskoj imovini:</w:t>
      </w:r>
    </w:p>
    <w:p w14:paraId="2D819579" w14:textId="2DC2628B" w:rsidR="00422385" w:rsidRDefault="00000000" w:rsidP="00F20266">
      <w:pPr>
        <w:pStyle w:val="Odlomakpopisa"/>
        <w:numPr>
          <w:ilvl w:val="0"/>
          <w:numId w:val="1"/>
        </w:numPr>
        <w:jc w:val="both"/>
      </w:pPr>
      <w:r>
        <w:t>vrijednost materijalne imovine - prirodna bogatstva za 11.511.374,40 EUR ( proknjižene su proc</w:t>
      </w:r>
      <w:r w:rsidR="007C1F1E">
        <w:t>i</w:t>
      </w:r>
      <w:r>
        <w:t>jenjene vrijednosti zemljišta namijenjenih pretežno turističkim naseljima, time imaju veliku vrijednost, a planirana su za potencijalnu prodaju u budućnosti).  Radi se o slijedećim zemljištima:  </w:t>
      </w:r>
      <w:r>
        <w:br/>
        <w:t xml:space="preserve">- oranica na </w:t>
      </w:r>
      <w:proofErr w:type="spellStart"/>
      <w:r>
        <w:t>k.č</w:t>
      </w:r>
      <w:proofErr w:type="spellEnd"/>
      <w:r>
        <w:t xml:space="preserve">. 928/44 </w:t>
      </w:r>
      <w:proofErr w:type="spellStart"/>
      <w:r>
        <w:t>k.o.Fažana</w:t>
      </w:r>
      <w:proofErr w:type="spellEnd"/>
      <w:r>
        <w:t xml:space="preserve"> u </w:t>
      </w:r>
      <w:proofErr w:type="spellStart"/>
      <w:r>
        <w:t>Valbandonu</w:t>
      </w:r>
      <w:proofErr w:type="spellEnd"/>
      <w:r>
        <w:t xml:space="preserve"> površine 280 m2</w:t>
      </w:r>
      <w:r>
        <w:br/>
        <w:t xml:space="preserve">- građevinsko zemljište na </w:t>
      </w:r>
      <w:proofErr w:type="spellStart"/>
      <w:r>
        <w:t>k.č</w:t>
      </w:r>
      <w:proofErr w:type="spellEnd"/>
      <w:r>
        <w:t>. 780/133 k.o. Fažana suvlasničkog djela Općine 1586/3600</w:t>
      </w:r>
      <w:r>
        <w:br/>
        <w:t xml:space="preserve">- građevinsko zemljište na </w:t>
      </w:r>
      <w:proofErr w:type="spellStart"/>
      <w:r>
        <w:t>k.č</w:t>
      </w:r>
      <w:proofErr w:type="spellEnd"/>
      <w:r>
        <w:t xml:space="preserve">. 857/19 </w:t>
      </w:r>
      <w:proofErr w:type="spellStart"/>
      <w:r>
        <w:t>k.o</w:t>
      </w:r>
      <w:proofErr w:type="spellEnd"/>
      <w:r>
        <w:t xml:space="preserve"> Fažana, površine 129 m2</w:t>
      </w:r>
      <w:r>
        <w:br/>
        <w:t xml:space="preserve">- građevinsko zemljište na </w:t>
      </w:r>
      <w:proofErr w:type="spellStart"/>
      <w:r>
        <w:t>k.č</w:t>
      </w:r>
      <w:proofErr w:type="spellEnd"/>
      <w:r>
        <w:t xml:space="preserve">. 838/6 k.o. Fažana, površine 568 m2                                                                                                                              - građevinsko zemljište na </w:t>
      </w:r>
      <w:proofErr w:type="spellStart"/>
      <w:r>
        <w:t>k.č</w:t>
      </w:r>
      <w:proofErr w:type="spellEnd"/>
      <w:r>
        <w:t>. 838/3 k.o. Fažana, površine 834m2</w:t>
      </w:r>
      <w:r>
        <w:br/>
        <w:t xml:space="preserve">- građevinsko zemljište na </w:t>
      </w:r>
      <w:proofErr w:type="spellStart"/>
      <w:r>
        <w:t>k.č</w:t>
      </w:r>
      <w:proofErr w:type="spellEnd"/>
      <w:r>
        <w:t>. 838/5 k.o. Fažana, površine 820m2</w:t>
      </w:r>
      <w:r>
        <w:br/>
        <w:t xml:space="preserve">- zemljište izvan građevinskog područja </w:t>
      </w:r>
      <w:proofErr w:type="spellStart"/>
      <w:r>
        <w:t>k.č</w:t>
      </w:r>
      <w:proofErr w:type="spellEnd"/>
      <w:r>
        <w:t xml:space="preserve">. 839/9 </w:t>
      </w:r>
      <w:proofErr w:type="spellStart"/>
      <w:r>
        <w:t>k.o.Fažana</w:t>
      </w:r>
      <w:proofErr w:type="spellEnd"/>
      <w:r>
        <w:t xml:space="preserve"> površine 63,50m2 suvlasnički dio</w:t>
      </w:r>
      <w:r>
        <w:br/>
        <w:t xml:space="preserve">- zemljište izvan građevinskog područja </w:t>
      </w:r>
      <w:proofErr w:type="spellStart"/>
      <w:r>
        <w:t>k.č</w:t>
      </w:r>
      <w:proofErr w:type="spellEnd"/>
      <w:r>
        <w:t xml:space="preserve">. 839/7 </w:t>
      </w:r>
      <w:proofErr w:type="spellStart"/>
      <w:r>
        <w:t>k.o</w:t>
      </w:r>
      <w:proofErr w:type="spellEnd"/>
      <w:r>
        <w:t xml:space="preserve"> Fažana suvlasnički dio površine 596.50m2</w:t>
      </w:r>
      <w:r>
        <w:br/>
        <w:t xml:space="preserve">- zemljište izvan građevinskog područja </w:t>
      </w:r>
      <w:proofErr w:type="spellStart"/>
      <w:r>
        <w:t>k.č</w:t>
      </w:r>
      <w:proofErr w:type="spellEnd"/>
      <w:r>
        <w:t xml:space="preserve">. 839/8 </w:t>
      </w:r>
      <w:proofErr w:type="spellStart"/>
      <w:r>
        <w:t>k.o</w:t>
      </w:r>
      <w:proofErr w:type="spellEnd"/>
      <w:r>
        <w:t xml:space="preserve"> Fažana suvlasnički dio površine 21,50m2</w:t>
      </w:r>
      <w:r>
        <w:br/>
        <w:t>- zemljište nam</w:t>
      </w:r>
      <w:r w:rsidR="007C1F1E">
        <w:t>i</w:t>
      </w:r>
      <w:r>
        <w:t xml:space="preserve">jenjeno turističkom naselju površine 13.788 m2, </w:t>
      </w:r>
      <w:proofErr w:type="spellStart"/>
      <w:r>
        <w:t>k.č</w:t>
      </w:r>
      <w:proofErr w:type="spellEnd"/>
      <w:r>
        <w:t>. 776/3</w:t>
      </w:r>
      <w:r>
        <w:br/>
        <w:t>- zemljište nam</w:t>
      </w:r>
      <w:r w:rsidR="007C1F1E">
        <w:t>i</w:t>
      </w:r>
      <w:r>
        <w:t xml:space="preserve">jenjeno turističkom naselju površine 11.587 m2, </w:t>
      </w:r>
      <w:proofErr w:type="spellStart"/>
      <w:r>
        <w:t>k.č</w:t>
      </w:r>
      <w:proofErr w:type="spellEnd"/>
      <w:r>
        <w:t>. 777/1</w:t>
      </w:r>
      <w:r>
        <w:br/>
        <w:t xml:space="preserve">- građevinsko zemljište površine 2.124 m2, </w:t>
      </w:r>
      <w:proofErr w:type="spellStart"/>
      <w:r>
        <w:t>k.č</w:t>
      </w:r>
      <w:proofErr w:type="spellEnd"/>
      <w:r>
        <w:t>. 1206/19</w:t>
      </w:r>
    </w:p>
    <w:p w14:paraId="5F50117B" w14:textId="77777777" w:rsidR="00422385" w:rsidRDefault="00000000" w:rsidP="00F20266">
      <w:pPr>
        <w:pStyle w:val="Odlomakpopisa"/>
        <w:numPr>
          <w:ilvl w:val="0"/>
          <w:numId w:val="2"/>
        </w:numPr>
        <w:jc w:val="both"/>
      </w:pPr>
      <w:r>
        <w:t xml:space="preserve">Ujedno, knjižena su i izvlaštenja za zemljište na kč.br. 741/10 put površine 293 m2, upisano u </w:t>
      </w:r>
      <w:proofErr w:type="spellStart"/>
      <w:r>
        <w:t>zk</w:t>
      </w:r>
      <w:proofErr w:type="spellEnd"/>
      <w:r>
        <w:t xml:space="preserve">. ul. 20829 k.o. Fažana i </w:t>
      </w:r>
      <w:proofErr w:type="spellStart"/>
      <w:r>
        <w:t>k.č</w:t>
      </w:r>
      <w:proofErr w:type="spellEnd"/>
      <w:r>
        <w:t>. 1080/1 maslinik sa 3181 m2 k.o. Fažana.</w:t>
      </w:r>
    </w:p>
    <w:p w14:paraId="1DBB8350" w14:textId="77777777" w:rsidR="00422385" w:rsidRDefault="00000000" w:rsidP="00F20266">
      <w:pPr>
        <w:pStyle w:val="Odlomakpopisa"/>
        <w:numPr>
          <w:ilvl w:val="0"/>
          <w:numId w:val="2"/>
        </w:numPr>
        <w:jc w:val="both"/>
      </w:pPr>
      <w:r>
        <w:t xml:space="preserve">Prodaja zemljišta temeljem kupoprodajnih ugovora, </w:t>
      </w:r>
      <w:proofErr w:type="spellStart"/>
      <w:r>
        <w:t>isknjiženje</w:t>
      </w:r>
      <w:proofErr w:type="spellEnd"/>
      <w:r>
        <w:t xml:space="preserve"> zemljišta u ukupnom iznosu od 766.000,00 EUR, a odnose se na građevinska zemljišta na </w:t>
      </w:r>
      <w:proofErr w:type="spellStart"/>
      <w:r>
        <w:t>k.č</w:t>
      </w:r>
      <w:proofErr w:type="spellEnd"/>
      <w:r>
        <w:t xml:space="preserve">. 838/5 k.o. Fažana, </w:t>
      </w:r>
      <w:proofErr w:type="spellStart"/>
      <w:r>
        <w:t>k.č</w:t>
      </w:r>
      <w:proofErr w:type="spellEnd"/>
      <w:r>
        <w:t xml:space="preserve">. 838/3 k.o. Fažana i </w:t>
      </w:r>
      <w:proofErr w:type="spellStart"/>
      <w:r>
        <w:t>k.č</w:t>
      </w:r>
      <w:proofErr w:type="spellEnd"/>
      <w:r>
        <w:t>. 838/6 k.o. Fažana.</w:t>
      </w:r>
    </w:p>
    <w:p w14:paraId="3DA94F8E" w14:textId="77777777" w:rsidR="00422385" w:rsidRDefault="00422385" w:rsidP="00F20266">
      <w:pPr>
        <w:jc w:val="both"/>
      </w:pPr>
    </w:p>
    <w:p w14:paraId="235DDCF8" w14:textId="77777777" w:rsidR="00422385" w:rsidRDefault="00000000" w:rsidP="00F20266">
      <w:pPr>
        <w:keepNext/>
        <w:spacing w:line="240" w:lineRule="auto"/>
        <w:jc w:val="both"/>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3BF1A879" w14:textId="77777777">
        <w:trPr>
          <w:cantSplit/>
        </w:trPr>
        <w:tc>
          <w:tcPr>
            <w:tcW w:w="700" w:type="dxa"/>
            <w:shd w:val="clear" w:color="auto" w:fill="E7F0F9"/>
            <w:tcMar>
              <w:top w:w="0" w:type="dxa"/>
              <w:bottom w:w="0" w:type="dxa"/>
            </w:tcMar>
            <w:vAlign w:val="center"/>
          </w:tcPr>
          <w:p w14:paraId="62F2DC86"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02F6FE"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ECA40D7"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0267EC1" w14:textId="77777777" w:rsidR="00422385" w:rsidRDefault="00000000" w:rsidP="00F20266">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4FD97553" w14:textId="77777777" w:rsidR="00422385" w:rsidRDefault="00000000" w:rsidP="00F20266">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6476C85E" w14:textId="77777777" w:rsidR="00422385" w:rsidRDefault="00000000" w:rsidP="00F20266">
            <w:pPr>
              <w:keepNext/>
              <w:keepLines/>
              <w:spacing w:after="0" w:line="240" w:lineRule="auto"/>
              <w:jc w:val="both"/>
            </w:pPr>
            <w:r>
              <w:rPr>
                <w:b/>
                <w:sz w:val="18"/>
              </w:rPr>
              <w:t>Indeks (%)</w:t>
            </w:r>
          </w:p>
        </w:tc>
      </w:tr>
      <w:tr w:rsidR="00422385" w14:paraId="57A1533E" w14:textId="77777777">
        <w:trPr>
          <w:cantSplit/>
          <w:trHeight w:val="560"/>
        </w:trPr>
        <w:tc>
          <w:tcPr>
            <w:tcW w:w="700" w:type="dxa"/>
            <w:tcMar>
              <w:top w:w="0" w:type="dxa"/>
              <w:bottom w:w="0" w:type="dxa"/>
            </w:tcMar>
            <w:vAlign w:val="center"/>
          </w:tcPr>
          <w:p w14:paraId="40D8FA21" w14:textId="77777777" w:rsidR="00422385" w:rsidRDefault="00000000" w:rsidP="00F20266">
            <w:pPr>
              <w:keepNext/>
              <w:keepLines/>
              <w:spacing w:after="0" w:line="240" w:lineRule="auto"/>
              <w:jc w:val="both"/>
            </w:pPr>
            <w:r>
              <w:rPr>
                <w:sz w:val="18"/>
              </w:rPr>
              <w:t>02</w:t>
            </w:r>
          </w:p>
        </w:tc>
        <w:tc>
          <w:tcPr>
            <w:tcW w:w="3180" w:type="dxa"/>
            <w:tcMar>
              <w:top w:w="0" w:type="dxa"/>
              <w:bottom w:w="0" w:type="dxa"/>
            </w:tcMar>
            <w:vAlign w:val="center"/>
          </w:tcPr>
          <w:p w14:paraId="5F00AB76" w14:textId="77777777" w:rsidR="00422385" w:rsidRDefault="00000000" w:rsidP="00F20266">
            <w:pPr>
              <w:keepNext/>
              <w:keepLines/>
              <w:spacing w:after="0" w:line="240" w:lineRule="auto"/>
              <w:jc w:val="both"/>
            </w:pPr>
            <w:r>
              <w:rPr>
                <w:sz w:val="18"/>
              </w:rPr>
              <w:t>Proizvedena dugotrajna imovina (šifre '021 i 02921' + '022 i 02922' + '023 i 02923' + '024 i 02924' + '025 i 02925' + '026 i 02926')</w:t>
            </w:r>
          </w:p>
        </w:tc>
        <w:tc>
          <w:tcPr>
            <w:tcW w:w="700" w:type="dxa"/>
            <w:tcMar>
              <w:top w:w="0" w:type="dxa"/>
              <w:bottom w:w="0" w:type="dxa"/>
            </w:tcMar>
            <w:vAlign w:val="center"/>
          </w:tcPr>
          <w:p w14:paraId="37BEC827" w14:textId="77777777" w:rsidR="00422385" w:rsidRDefault="00000000" w:rsidP="00F20266">
            <w:pPr>
              <w:keepNext/>
              <w:keepLines/>
              <w:spacing w:after="0" w:line="240" w:lineRule="auto"/>
              <w:jc w:val="both"/>
            </w:pPr>
            <w:r>
              <w:rPr>
                <w:sz w:val="18"/>
              </w:rPr>
              <w:t>02</w:t>
            </w:r>
          </w:p>
        </w:tc>
        <w:tc>
          <w:tcPr>
            <w:tcW w:w="1860" w:type="dxa"/>
            <w:tcMar>
              <w:top w:w="0" w:type="dxa"/>
              <w:bottom w:w="0" w:type="dxa"/>
            </w:tcMar>
            <w:vAlign w:val="center"/>
          </w:tcPr>
          <w:p w14:paraId="2D11446E" w14:textId="77777777" w:rsidR="00422385" w:rsidRDefault="00000000" w:rsidP="00F20266">
            <w:pPr>
              <w:keepNext/>
              <w:keepLines/>
              <w:spacing w:after="0" w:line="240" w:lineRule="auto"/>
              <w:jc w:val="both"/>
            </w:pPr>
            <w:r>
              <w:rPr>
                <w:sz w:val="18"/>
              </w:rPr>
              <w:t>13.152.304,23</w:t>
            </w:r>
          </w:p>
        </w:tc>
        <w:tc>
          <w:tcPr>
            <w:tcW w:w="1860" w:type="dxa"/>
            <w:tcMar>
              <w:top w:w="0" w:type="dxa"/>
              <w:bottom w:w="0" w:type="dxa"/>
            </w:tcMar>
            <w:vAlign w:val="center"/>
          </w:tcPr>
          <w:p w14:paraId="0A7AF5A6" w14:textId="77777777" w:rsidR="00422385" w:rsidRDefault="00000000" w:rsidP="00F20266">
            <w:pPr>
              <w:keepNext/>
              <w:keepLines/>
              <w:spacing w:after="0" w:line="240" w:lineRule="auto"/>
              <w:jc w:val="both"/>
            </w:pPr>
            <w:r>
              <w:rPr>
                <w:sz w:val="18"/>
              </w:rPr>
              <w:t>17.150.016,64</w:t>
            </w:r>
          </w:p>
        </w:tc>
        <w:tc>
          <w:tcPr>
            <w:tcW w:w="700" w:type="dxa"/>
            <w:tcMar>
              <w:top w:w="0" w:type="dxa"/>
              <w:bottom w:w="0" w:type="dxa"/>
            </w:tcMar>
            <w:vAlign w:val="center"/>
          </w:tcPr>
          <w:p w14:paraId="2A2E91EF" w14:textId="77777777" w:rsidR="00422385" w:rsidRDefault="00000000" w:rsidP="00F20266">
            <w:pPr>
              <w:keepNext/>
              <w:keepLines/>
              <w:spacing w:after="0" w:line="240" w:lineRule="auto"/>
              <w:jc w:val="both"/>
            </w:pPr>
            <w:r>
              <w:rPr>
                <w:sz w:val="18"/>
              </w:rPr>
              <w:t>130,4</w:t>
            </w:r>
          </w:p>
        </w:tc>
      </w:tr>
    </w:tbl>
    <w:p w14:paraId="63034E0F" w14:textId="77777777" w:rsidR="00422385" w:rsidRDefault="00422385" w:rsidP="00F20266">
      <w:pPr>
        <w:spacing w:after="0"/>
        <w:jc w:val="both"/>
      </w:pPr>
    </w:p>
    <w:p w14:paraId="10D67BCE" w14:textId="154B3FB9" w:rsidR="00422385" w:rsidRDefault="00000000" w:rsidP="00F20266">
      <w:pPr>
        <w:jc w:val="both"/>
      </w:pPr>
      <w:r>
        <w:lastRenderedPageBreak/>
        <w:t>Proizvedena dugotrajna imovina (šifre '021 i 02921' + '022 i 02922' + '023 i 02923' + '024 i 02924' + '025 i 02925' + '026 i 02926') na kraju izvještajnog razdoblja 2025. godine iznosi 17.150.016,64, sa in</w:t>
      </w:r>
      <w:r w:rsidR="007C1F1E">
        <w:t>d</w:t>
      </w:r>
      <w:r>
        <w:t>eksom od 130,4. Povećanje vrijednosti proizvedene dugotrajne imovine za 30,4% u odnosu na 2024. godinu, a odnosi se na slijedeće :</w:t>
      </w:r>
    </w:p>
    <w:p w14:paraId="0F5845F6" w14:textId="77777777" w:rsidR="00422385" w:rsidRDefault="00000000" w:rsidP="00F20266">
      <w:pPr>
        <w:pStyle w:val="Odlomakpopisa"/>
        <w:numPr>
          <w:ilvl w:val="0"/>
          <w:numId w:val="1"/>
        </w:numPr>
        <w:jc w:val="both"/>
      </w:pPr>
      <w:r>
        <w:t xml:space="preserve">prijenos imovine u pripremi u imovinu i to za slijedeće stavke : investiciju izgradnje 1. faze prometnice san </w:t>
      </w:r>
      <w:proofErr w:type="spellStart"/>
      <w:r>
        <w:t>Pellegrino</w:t>
      </w:r>
      <w:proofErr w:type="spellEnd"/>
      <w:r>
        <w:t xml:space="preserve">, izgradnju Doma za mlade, investiciju izgradnje nogometnog centra u Fažani,  radovi na </w:t>
      </w:r>
      <w:proofErr w:type="spellStart"/>
      <w:r>
        <w:t>k.č</w:t>
      </w:r>
      <w:proofErr w:type="spellEnd"/>
      <w:r>
        <w:t xml:space="preserve">. zgr.18 - </w:t>
      </w:r>
      <w:proofErr w:type="spellStart"/>
      <w:r>
        <w:t>V.C.Emina</w:t>
      </w:r>
      <w:proofErr w:type="spellEnd"/>
      <w:r>
        <w:t xml:space="preserve"> 12, izgradnju prometnice </w:t>
      </w:r>
      <w:proofErr w:type="spellStart"/>
      <w:r>
        <w:t>Šurida</w:t>
      </w:r>
      <w:proofErr w:type="spellEnd"/>
      <w:r>
        <w:t xml:space="preserve"> sa javnom rasvjetom na </w:t>
      </w:r>
      <w:proofErr w:type="spellStart"/>
      <w:r>
        <w:t>k.č</w:t>
      </w:r>
      <w:proofErr w:type="spellEnd"/>
      <w:r>
        <w:t xml:space="preserve">. 749/27, izgradnju prometnice CESTA 2,  izgradnju i radove na tematskom parku maslinika OLIVA, radove na izgradnji solarne rasvjete u Ulici </w:t>
      </w:r>
      <w:proofErr w:type="spellStart"/>
      <w:r>
        <w:t>Pineta</w:t>
      </w:r>
      <w:proofErr w:type="spellEnd"/>
      <w:r>
        <w:t xml:space="preserve"> od broja 40 do 144, radove na izgradnji solarne rasvjete na lokaciji </w:t>
      </w:r>
      <w:proofErr w:type="spellStart"/>
      <w:r>
        <w:t>Galižanska</w:t>
      </w:r>
      <w:proofErr w:type="spellEnd"/>
      <w:r>
        <w:t xml:space="preserve"> 212-214 i </w:t>
      </w:r>
      <w:proofErr w:type="spellStart"/>
      <w:r>
        <w:t>Pineta</w:t>
      </w:r>
      <w:proofErr w:type="spellEnd"/>
      <w:r>
        <w:t xml:space="preserve"> 25, radove na javnoj rasvjeti na pješačkoj stazi pored </w:t>
      </w:r>
      <w:proofErr w:type="spellStart"/>
      <w:r>
        <w:t>skate</w:t>
      </w:r>
      <w:proofErr w:type="spellEnd"/>
      <w:r>
        <w:t xml:space="preserve"> parka na </w:t>
      </w:r>
      <w:proofErr w:type="spellStart"/>
      <w:r>
        <w:t>k.č</w:t>
      </w:r>
      <w:proofErr w:type="spellEnd"/>
      <w:r>
        <w:t xml:space="preserve">. 780/211, te na radove na saniranju ulaznog dijela u staro groblje u Fažani-INV BR 25127 i na izvršene radove na dobavi i montaži 3 </w:t>
      </w:r>
      <w:proofErr w:type="spellStart"/>
      <w:r>
        <w:t>kandelabera</w:t>
      </w:r>
      <w:proofErr w:type="spellEnd"/>
      <w:r>
        <w:t xml:space="preserve"> u ulici Mala Vala,</w:t>
      </w:r>
    </w:p>
    <w:p w14:paraId="4880A3B7" w14:textId="77777777" w:rsidR="00422385" w:rsidRDefault="00000000" w:rsidP="00F20266">
      <w:pPr>
        <w:pStyle w:val="Odlomakpopisa"/>
        <w:numPr>
          <w:ilvl w:val="0"/>
          <w:numId w:val="1"/>
        </w:numPr>
        <w:jc w:val="both"/>
      </w:pPr>
      <w:r>
        <w:t xml:space="preserve">nabavu Laptopa Acer </w:t>
      </w:r>
      <w:proofErr w:type="spellStart"/>
      <w:r>
        <w:t>Asire</w:t>
      </w:r>
      <w:proofErr w:type="spellEnd"/>
      <w:r>
        <w:t xml:space="preserve"> 16, klupa 4 kom, ormara za MMC, ormara za ured u JUO-u, izradu grafičkog plana upravljanja pomorskog dobra, izradu geodetske podloge za izradu UPU Kamp </w:t>
      </w:r>
      <w:proofErr w:type="spellStart"/>
      <w:r>
        <w:t>Pineta</w:t>
      </w:r>
      <w:proofErr w:type="spellEnd"/>
      <w:r>
        <w:t xml:space="preserve">, nabavu Samsung Galaxy A26 5G </w:t>
      </w:r>
      <w:proofErr w:type="spellStart"/>
      <w:r>
        <w:t>black</w:t>
      </w:r>
      <w:proofErr w:type="spellEnd"/>
      <w:r>
        <w:t xml:space="preserve"> (Marin), printera HP za pisarnicu, ormar za pisarnicu, protuprovalnog sustava za Dom za mlade, višenamjenskog ormara za društvenu prostoriju, računala za Dom za mlade, otvorenog kontejnera za potrebe starog groblja, dobavu i ugradnju sustava videonadzora za Dom za mlade,</w:t>
      </w:r>
    </w:p>
    <w:p w14:paraId="0A1589E9" w14:textId="77777777" w:rsidR="00422385" w:rsidRDefault="00000000" w:rsidP="00F20266">
      <w:pPr>
        <w:pStyle w:val="Odlomakpopisa"/>
        <w:numPr>
          <w:ilvl w:val="0"/>
          <w:numId w:val="1"/>
        </w:numPr>
        <w:jc w:val="both"/>
      </w:pPr>
      <w:proofErr w:type="spellStart"/>
      <w:r>
        <w:t>isknjiženje</w:t>
      </w:r>
      <w:proofErr w:type="spellEnd"/>
      <w:r>
        <w:t xml:space="preserve"> imovine sukladno Odluci Klasa 650-01/25-01/0004</w:t>
      </w:r>
    </w:p>
    <w:p w14:paraId="77586EBB" w14:textId="77777777" w:rsidR="00422385" w:rsidRDefault="00000000" w:rsidP="00F20266">
      <w:pPr>
        <w:pStyle w:val="Odlomakpopisa"/>
        <w:numPr>
          <w:ilvl w:val="0"/>
          <w:numId w:val="1"/>
        </w:numPr>
        <w:jc w:val="both"/>
      </w:pPr>
      <w:r>
        <w:t>uspostavu i upravljanje bazom zemljišnih informacija-prvi dio.</w:t>
      </w:r>
      <w:r>
        <w:br/>
      </w:r>
      <w:r>
        <w:br/>
      </w:r>
      <w:r>
        <w:br/>
      </w:r>
      <w:r>
        <w:br/>
        <w:t> </w:t>
      </w:r>
      <w:r>
        <w:br/>
        <w:t> </w:t>
      </w:r>
    </w:p>
    <w:p w14:paraId="169CF9E4" w14:textId="77777777" w:rsidR="00422385" w:rsidRDefault="00422385" w:rsidP="00F20266">
      <w:pPr>
        <w:jc w:val="both"/>
      </w:pPr>
    </w:p>
    <w:p w14:paraId="1F2B6058" w14:textId="77777777" w:rsidR="00422385" w:rsidRDefault="00000000" w:rsidP="00F20266">
      <w:pPr>
        <w:keepNext/>
        <w:spacing w:line="240" w:lineRule="auto"/>
        <w:jc w:val="both"/>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77733DD4" w14:textId="77777777">
        <w:trPr>
          <w:cantSplit/>
        </w:trPr>
        <w:tc>
          <w:tcPr>
            <w:tcW w:w="700" w:type="dxa"/>
            <w:shd w:val="clear" w:color="auto" w:fill="E7F0F9"/>
            <w:tcMar>
              <w:top w:w="0" w:type="dxa"/>
              <w:bottom w:w="0" w:type="dxa"/>
            </w:tcMar>
            <w:vAlign w:val="center"/>
          </w:tcPr>
          <w:p w14:paraId="5E1BD281"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678417"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A434F67"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34A15BB" w14:textId="77777777" w:rsidR="00422385" w:rsidRDefault="00000000" w:rsidP="00F20266">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2C3095AE" w14:textId="77777777" w:rsidR="00422385" w:rsidRDefault="00000000" w:rsidP="00F20266">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5EEAF985" w14:textId="77777777" w:rsidR="00422385" w:rsidRDefault="00000000" w:rsidP="00F20266">
            <w:pPr>
              <w:keepNext/>
              <w:keepLines/>
              <w:spacing w:after="0" w:line="240" w:lineRule="auto"/>
              <w:jc w:val="both"/>
            </w:pPr>
            <w:r>
              <w:rPr>
                <w:b/>
                <w:sz w:val="18"/>
              </w:rPr>
              <w:t>Indeks (%)</w:t>
            </w:r>
          </w:p>
        </w:tc>
      </w:tr>
      <w:tr w:rsidR="00422385" w14:paraId="24CF814F" w14:textId="77777777">
        <w:trPr>
          <w:cantSplit/>
          <w:trHeight w:val="560"/>
        </w:trPr>
        <w:tc>
          <w:tcPr>
            <w:tcW w:w="700" w:type="dxa"/>
            <w:tcMar>
              <w:top w:w="0" w:type="dxa"/>
              <w:bottom w:w="0" w:type="dxa"/>
            </w:tcMar>
            <w:vAlign w:val="center"/>
          </w:tcPr>
          <w:p w14:paraId="1B17D80B" w14:textId="77777777" w:rsidR="00422385" w:rsidRDefault="00000000" w:rsidP="00F20266">
            <w:pPr>
              <w:keepNext/>
              <w:keepLines/>
              <w:spacing w:after="0" w:line="240" w:lineRule="auto"/>
              <w:jc w:val="both"/>
            </w:pPr>
            <w:r>
              <w:rPr>
                <w:sz w:val="18"/>
              </w:rPr>
              <w:t>055</w:t>
            </w:r>
          </w:p>
        </w:tc>
        <w:tc>
          <w:tcPr>
            <w:tcW w:w="3180" w:type="dxa"/>
            <w:tcMar>
              <w:top w:w="0" w:type="dxa"/>
              <w:bottom w:w="0" w:type="dxa"/>
            </w:tcMar>
            <w:vAlign w:val="center"/>
          </w:tcPr>
          <w:p w14:paraId="7CC7D25E" w14:textId="77777777" w:rsidR="00422385" w:rsidRDefault="00000000" w:rsidP="00F20266">
            <w:pPr>
              <w:keepNext/>
              <w:keepLines/>
              <w:spacing w:after="0" w:line="240" w:lineRule="auto"/>
              <w:jc w:val="both"/>
            </w:pPr>
            <w:r>
              <w:rPr>
                <w:sz w:val="18"/>
              </w:rPr>
              <w:t>Ostala nematerijalna proizvedena imovina u pripremi</w:t>
            </w:r>
          </w:p>
        </w:tc>
        <w:tc>
          <w:tcPr>
            <w:tcW w:w="700" w:type="dxa"/>
            <w:tcMar>
              <w:top w:w="0" w:type="dxa"/>
              <w:bottom w:w="0" w:type="dxa"/>
            </w:tcMar>
            <w:vAlign w:val="center"/>
          </w:tcPr>
          <w:p w14:paraId="18DE5F14" w14:textId="77777777" w:rsidR="00422385" w:rsidRDefault="00000000" w:rsidP="00F20266">
            <w:pPr>
              <w:keepNext/>
              <w:keepLines/>
              <w:spacing w:after="0" w:line="240" w:lineRule="auto"/>
              <w:jc w:val="both"/>
            </w:pPr>
            <w:r>
              <w:rPr>
                <w:sz w:val="18"/>
              </w:rPr>
              <w:t>055</w:t>
            </w:r>
          </w:p>
        </w:tc>
        <w:tc>
          <w:tcPr>
            <w:tcW w:w="1860" w:type="dxa"/>
            <w:tcMar>
              <w:top w:w="0" w:type="dxa"/>
              <w:bottom w:w="0" w:type="dxa"/>
            </w:tcMar>
            <w:vAlign w:val="center"/>
          </w:tcPr>
          <w:p w14:paraId="25F250B8" w14:textId="77777777" w:rsidR="00422385" w:rsidRDefault="00000000" w:rsidP="00F20266">
            <w:pPr>
              <w:keepNext/>
              <w:keepLines/>
              <w:spacing w:after="0" w:line="240" w:lineRule="auto"/>
              <w:jc w:val="both"/>
            </w:pPr>
            <w:r>
              <w:rPr>
                <w:sz w:val="18"/>
              </w:rPr>
              <w:t>41.575,01</w:t>
            </w:r>
          </w:p>
        </w:tc>
        <w:tc>
          <w:tcPr>
            <w:tcW w:w="1860" w:type="dxa"/>
            <w:tcMar>
              <w:top w:w="0" w:type="dxa"/>
              <w:bottom w:w="0" w:type="dxa"/>
            </w:tcMar>
            <w:vAlign w:val="center"/>
          </w:tcPr>
          <w:p w14:paraId="5C0F5D23" w14:textId="77777777" w:rsidR="00422385" w:rsidRDefault="00000000" w:rsidP="00F20266">
            <w:pPr>
              <w:keepNext/>
              <w:keepLines/>
              <w:spacing w:after="0" w:line="240" w:lineRule="auto"/>
              <w:jc w:val="both"/>
            </w:pPr>
            <w:r>
              <w:rPr>
                <w:sz w:val="18"/>
              </w:rPr>
              <w:t>147.075,01</w:t>
            </w:r>
          </w:p>
        </w:tc>
        <w:tc>
          <w:tcPr>
            <w:tcW w:w="700" w:type="dxa"/>
            <w:tcMar>
              <w:top w:w="0" w:type="dxa"/>
              <w:bottom w:w="0" w:type="dxa"/>
            </w:tcMar>
            <w:vAlign w:val="center"/>
          </w:tcPr>
          <w:p w14:paraId="5474EDB1" w14:textId="77777777" w:rsidR="00422385" w:rsidRDefault="00000000" w:rsidP="00F20266">
            <w:pPr>
              <w:keepNext/>
              <w:keepLines/>
              <w:spacing w:after="0" w:line="240" w:lineRule="auto"/>
              <w:jc w:val="both"/>
            </w:pPr>
            <w:r>
              <w:rPr>
                <w:sz w:val="18"/>
              </w:rPr>
              <w:t>353,8</w:t>
            </w:r>
          </w:p>
        </w:tc>
      </w:tr>
    </w:tbl>
    <w:p w14:paraId="47A07DA7" w14:textId="77777777" w:rsidR="00422385" w:rsidRDefault="00422385" w:rsidP="00F20266">
      <w:pPr>
        <w:spacing w:after="0"/>
        <w:jc w:val="both"/>
      </w:pPr>
    </w:p>
    <w:p w14:paraId="73015438" w14:textId="77777777" w:rsidR="00422385" w:rsidRDefault="00000000" w:rsidP="00F20266">
      <w:pPr>
        <w:jc w:val="both"/>
      </w:pPr>
      <w:r>
        <w:t>Kod ostale nematerijalne proizvedene imovine u pripremi imamo povećanje za 253,8% u odnosu na 2024. godinu, odnosno sa 41.575,01 EUR na 147.075,01 EUR.</w:t>
      </w:r>
    </w:p>
    <w:p w14:paraId="1508DF68" w14:textId="77777777" w:rsidR="00422385" w:rsidRDefault="00000000" w:rsidP="00F20266">
      <w:pPr>
        <w:jc w:val="both"/>
      </w:pPr>
      <w:r>
        <w:t>Navedeno povećanje odnosi se na slijedeće stavke:</w:t>
      </w:r>
    </w:p>
    <w:p w14:paraId="106F6463" w14:textId="77777777" w:rsidR="00422385" w:rsidRDefault="00000000" w:rsidP="008C258B">
      <w:r>
        <w:t>- izrada geodetske podloge za izradu UPU Fažana</w:t>
      </w:r>
      <w:r>
        <w:br/>
        <w:t>- izrada geodetske podloge za izradu UPU Valbandon</w:t>
      </w:r>
      <w:r>
        <w:br/>
        <w:t>- izrada pročišćenog teksta UPU Fažana</w:t>
      </w:r>
      <w:r>
        <w:br/>
        <w:t>- izrada II. izmjene i dopune UPU naselja Fažana-50 % iznosa</w:t>
      </w:r>
      <w:r>
        <w:br/>
        <w:t>- uspostava i upravljanje bazom zemljišnih informacija-prvi dio</w:t>
      </w:r>
      <w:r>
        <w:br/>
        <w:t>- izrada geodetske podloge za izradu UPU Valbandon</w:t>
      </w:r>
      <w:r>
        <w:br/>
      </w:r>
      <w:r>
        <w:lastRenderedPageBreak/>
        <w:t>- izrada geodetske podloge za izradu UPU Valbandon</w:t>
      </w:r>
      <w:r>
        <w:br/>
        <w:t>- izrada II. ID UPU Naselja Valbandon.</w:t>
      </w:r>
    </w:p>
    <w:p w14:paraId="1C6AE802" w14:textId="77777777" w:rsidR="00422385" w:rsidRDefault="00422385" w:rsidP="00F20266">
      <w:pPr>
        <w:jc w:val="both"/>
      </w:pPr>
    </w:p>
    <w:p w14:paraId="4C53577D" w14:textId="77777777" w:rsidR="00422385" w:rsidRDefault="00000000" w:rsidP="00F20266">
      <w:pPr>
        <w:keepNext/>
        <w:spacing w:line="240" w:lineRule="auto"/>
        <w:jc w:val="both"/>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4CFBEE6B" w14:textId="77777777">
        <w:trPr>
          <w:cantSplit/>
        </w:trPr>
        <w:tc>
          <w:tcPr>
            <w:tcW w:w="700" w:type="dxa"/>
            <w:shd w:val="clear" w:color="auto" w:fill="E7F0F9"/>
            <w:tcMar>
              <w:top w:w="0" w:type="dxa"/>
              <w:bottom w:w="0" w:type="dxa"/>
            </w:tcMar>
            <w:vAlign w:val="center"/>
          </w:tcPr>
          <w:p w14:paraId="34502A2E"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6F0367"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7E22DFA"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B0ACC6E" w14:textId="77777777" w:rsidR="00422385" w:rsidRDefault="00000000" w:rsidP="00F20266">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28516510" w14:textId="77777777" w:rsidR="00422385" w:rsidRDefault="00000000" w:rsidP="00F20266">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559EED21" w14:textId="77777777" w:rsidR="00422385" w:rsidRDefault="00000000" w:rsidP="00F20266">
            <w:pPr>
              <w:keepNext/>
              <w:keepLines/>
              <w:spacing w:after="0" w:line="240" w:lineRule="auto"/>
              <w:jc w:val="both"/>
            </w:pPr>
            <w:r>
              <w:rPr>
                <w:b/>
                <w:sz w:val="18"/>
              </w:rPr>
              <w:t>Indeks (%)</w:t>
            </w:r>
          </w:p>
        </w:tc>
      </w:tr>
      <w:tr w:rsidR="00422385" w14:paraId="52AEAC52" w14:textId="77777777">
        <w:trPr>
          <w:cantSplit/>
          <w:trHeight w:val="560"/>
        </w:trPr>
        <w:tc>
          <w:tcPr>
            <w:tcW w:w="700" w:type="dxa"/>
            <w:tcMar>
              <w:top w:w="0" w:type="dxa"/>
              <w:bottom w:w="0" w:type="dxa"/>
            </w:tcMar>
            <w:vAlign w:val="center"/>
          </w:tcPr>
          <w:p w14:paraId="77F65A21" w14:textId="77777777" w:rsidR="00422385" w:rsidRDefault="00000000" w:rsidP="00F20266">
            <w:pPr>
              <w:keepNext/>
              <w:keepLines/>
              <w:spacing w:after="0" w:line="240" w:lineRule="auto"/>
              <w:jc w:val="both"/>
            </w:pPr>
            <w:r>
              <w:rPr>
                <w:sz w:val="18"/>
              </w:rPr>
              <w:t>1</w:t>
            </w:r>
          </w:p>
        </w:tc>
        <w:tc>
          <w:tcPr>
            <w:tcW w:w="3180" w:type="dxa"/>
            <w:tcMar>
              <w:top w:w="0" w:type="dxa"/>
              <w:bottom w:w="0" w:type="dxa"/>
            </w:tcMar>
            <w:vAlign w:val="center"/>
          </w:tcPr>
          <w:p w14:paraId="40ECAD55" w14:textId="77777777" w:rsidR="00422385" w:rsidRDefault="00000000" w:rsidP="00F20266">
            <w:pPr>
              <w:keepNext/>
              <w:keepLines/>
              <w:spacing w:after="0" w:line="240" w:lineRule="auto"/>
              <w:jc w:val="both"/>
            </w:pPr>
            <w:r>
              <w:rPr>
                <w:sz w:val="18"/>
              </w:rPr>
              <w:t>Financijska imovina (šifre 11+12+13+14+15+16+17+19)</w:t>
            </w:r>
          </w:p>
        </w:tc>
        <w:tc>
          <w:tcPr>
            <w:tcW w:w="700" w:type="dxa"/>
            <w:tcMar>
              <w:top w:w="0" w:type="dxa"/>
              <w:bottom w:w="0" w:type="dxa"/>
            </w:tcMar>
            <w:vAlign w:val="center"/>
          </w:tcPr>
          <w:p w14:paraId="52C26DC5" w14:textId="77777777" w:rsidR="00422385" w:rsidRDefault="00000000" w:rsidP="00F20266">
            <w:pPr>
              <w:keepNext/>
              <w:keepLines/>
              <w:spacing w:after="0" w:line="240" w:lineRule="auto"/>
              <w:jc w:val="both"/>
            </w:pPr>
            <w:r>
              <w:rPr>
                <w:sz w:val="18"/>
              </w:rPr>
              <w:t>1</w:t>
            </w:r>
          </w:p>
        </w:tc>
        <w:tc>
          <w:tcPr>
            <w:tcW w:w="1860" w:type="dxa"/>
            <w:tcMar>
              <w:top w:w="0" w:type="dxa"/>
              <w:bottom w:w="0" w:type="dxa"/>
            </w:tcMar>
            <w:vAlign w:val="center"/>
          </w:tcPr>
          <w:p w14:paraId="07F9FAE2" w14:textId="77777777" w:rsidR="00422385" w:rsidRDefault="00000000" w:rsidP="00F20266">
            <w:pPr>
              <w:keepNext/>
              <w:keepLines/>
              <w:spacing w:after="0" w:line="240" w:lineRule="auto"/>
              <w:jc w:val="both"/>
            </w:pPr>
            <w:r>
              <w:rPr>
                <w:sz w:val="18"/>
              </w:rPr>
              <w:t>5.074.770,41</w:t>
            </w:r>
          </w:p>
        </w:tc>
        <w:tc>
          <w:tcPr>
            <w:tcW w:w="1860" w:type="dxa"/>
            <w:tcMar>
              <w:top w:w="0" w:type="dxa"/>
              <w:bottom w:w="0" w:type="dxa"/>
            </w:tcMar>
            <w:vAlign w:val="center"/>
          </w:tcPr>
          <w:p w14:paraId="1C1A5B30" w14:textId="77777777" w:rsidR="00422385" w:rsidRDefault="00000000" w:rsidP="00F20266">
            <w:pPr>
              <w:keepNext/>
              <w:keepLines/>
              <w:spacing w:after="0" w:line="240" w:lineRule="auto"/>
              <w:jc w:val="both"/>
            </w:pPr>
            <w:r>
              <w:rPr>
                <w:sz w:val="18"/>
              </w:rPr>
              <w:t>5.005.374,99</w:t>
            </w:r>
          </w:p>
        </w:tc>
        <w:tc>
          <w:tcPr>
            <w:tcW w:w="700" w:type="dxa"/>
            <w:tcMar>
              <w:top w:w="0" w:type="dxa"/>
              <w:bottom w:w="0" w:type="dxa"/>
            </w:tcMar>
            <w:vAlign w:val="center"/>
          </w:tcPr>
          <w:p w14:paraId="3A2904EC" w14:textId="77777777" w:rsidR="00422385" w:rsidRDefault="00000000" w:rsidP="00F20266">
            <w:pPr>
              <w:keepNext/>
              <w:keepLines/>
              <w:spacing w:after="0" w:line="240" w:lineRule="auto"/>
              <w:jc w:val="both"/>
            </w:pPr>
            <w:r>
              <w:rPr>
                <w:sz w:val="18"/>
              </w:rPr>
              <w:t>98,6</w:t>
            </w:r>
          </w:p>
        </w:tc>
      </w:tr>
    </w:tbl>
    <w:p w14:paraId="1215B6C9" w14:textId="77777777" w:rsidR="00422385" w:rsidRDefault="00422385" w:rsidP="00F20266">
      <w:pPr>
        <w:spacing w:after="0"/>
        <w:jc w:val="both"/>
      </w:pPr>
    </w:p>
    <w:p w14:paraId="6611ED32" w14:textId="77777777" w:rsidR="00422385" w:rsidRDefault="00000000" w:rsidP="00F20266">
      <w:pPr>
        <w:jc w:val="both"/>
      </w:pPr>
      <w:r>
        <w:t>Financijska imovina (šifre 11+12+13+14+15+16+17+19) je na kraju izvještajnog razdoblja iznosila 5.005.374,99 EUR odnosno 98,6% od realizacije u 2024. godini kad je iznosila 5.074.770,41 EUR.</w:t>
      </w:r>
      <w:r>
        <w:br/>
        <w:t> </w:t>
      </w:r>
      <w:r>
        <w:br/>
        <w:t> </w:t>
      </w:r>
    </w:p>
    <w:p w14:paraId="58C58F7F" w14:textId="77777777" w:rsidR="00422385" w:rsidRDefault="00422385" w:rsidP="00F20266">
      <w:pPr>
        <w:jc w:val="both"/>
      </w:pPr>
    </w:p>
    <w:p w14:paraId="2E1EF067" w14:textId="77777777" w:rsidR="00422385" w:rsidRDefault="00000000" w:rsidP="00F20266">
      <w:pPr>
        <w:keepNext/>
        <w:spacing w:line="240" w:lineRule="auto"/>
        <w:jc w:val="both"/>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043ADD24" w14:textId="77777777">
        <w:trPr>
          <w:cantSplit/>
        </w:trPr>
        <w:tc>
          <w:tcPr>
            <w:tcW w:w="700" w:type="dxa"/>
            <w:shd w:val="clear" w:color="auto" w:fill="E7F0F9"/>
            <w:tcMar>
              <w:top w:w="0" w:type="dxa"/>
              <w:bottom w:w="0" w:type="dxa"/>
            </w:tcMar>
            <w:vAlign w:val="center"/>
          </w:tcPr>
          <w:p w14:paraId="73F95D28"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77BB25"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C535EC5"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5678DB9" w14:textId="77777777" w:rsidR="00422385" w:rsidRDefault="00000000" w:rsidP="00F20266">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60B4CA19" w14:textId="77777777" w:rsidR="00422385" w:rsidRDefault="00000000" w:rsidP="00F20266">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12B9FD66" w14:textId="77777777" w:rsidR="00422385" w:rsidRDefault="00000000" w:rsidP="00F20266">
            <w:pPr>
              <w:keepNext/>
              <w:keepLines/>
              <w:spacing w:after="0" w:line="240" w:lineRule="auto"/>
              <w:jc w:val="both"/>
            </w:pPr>
            <w:r>
              <w:rPr>
                <w:b/>
                <w:sz w:val="18"/>
              </w:rPr>
              <w:t>Indeks (%)</w:t>
            </w:r>
          </w:p>
        </w:tc>
      </w:tr>
      <w:tr w:rsidR="00422385" w14:paraId="14BE522D" w14:textId="77777777">
        <w:trPr>
          <w:cantSplit/>
          <w:trHeight w:val="560"/>
        </w:trPr>
        <w:tc>
          <w:tcPr>
            <w:tcW w:w="700" w:type="dxa"/>
            <w:tcMar>
              <w:top w:w="0" w:type="dxa"/>
              <w:bottom w:w="0" w:type="dxa"/>
            </w:tcMar>
            <w:vAlign w:val="center"/>
          </w:tcPr>
          <w:p w14:paraId="61427290" w14:textId="77777777" w:rsidR="00422385" w:rsidRDefault="00000000" w:rsidP="00F20266">
            <w:pPr>
              <w:keepNext/>
              <w:keepLines/>
              <w:spacing w:after="0" w:line="240" w:lineRule="auto"/>
              <w:jc w:val="both"/>
            </w:pPr>
            <w:r>
              <w:rPr>
                <w:sz w:val="18"/>
              </w:rPr>
              <w:t>12</w:t>
            </w:r>
          </w:p>
        </w:tc>
        <w:tc>
          <w:tcPr>
            <w:tcW w:w="3180" w:type="dxa"/>
            <w:tcMar>
              <w:top w:w="0" w:type="dxa"/>
              <w:bottom w:w="0" w:type="dxa"/>
            </w:tcMar>
            <w:vAlign w:val="center"/>
          </w:tcPr>
          <w:p w14:paraId="4D31D8E6" w14:textId="77777777" w:rsidR="00422385" w:rsidRDefault="00000000" w:rsidP="00F20266">
            <w:pPr>
              <w:keepNext/>
              <w:keepLines/>
              <w:spacing w:after="0" w:line="240" w:lineRule="auto"/>
              <w:jc w:val="both"/>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 (šifre 122 do 124 - 125 + 129)</w:t>
            </w:r>
          </w:p>
        </w:tc>
        <w:tc>
          <w:tcPr>
            <w:tcW w:w="700" w:type="dxa"/>
            <w:tcMar>
              <w:top w:w="0" w:type="dxa"/>
              <w:bottom w:w="0" w:type="dxa"/>
            </w:tcMar>
            <w:vAlign w:val="center"/>
          </w:tcPr>
          <w:p w14:paraId="0C5AE08D" w14:textId="77777777" w:rsidR="00422385" w:rsidRDefault="00000000" w:rsidP="00F20266">
            <w:pPr>
              <w:keepNext/>
              <w:keepLines/>
              <w:spacing w:after="0" w:line="240" w:lineRule="auto"/>
              <w:jc w:val="both"/>
            </w:pPr>
            <w:r>
              <w:rPr>
                <w:sz w:val="18"/>
              </w:rPr>
              <w:t>12</w:t>
            </w:r>
          </w:p>
        </w:tc>
        <w:tc>
          <w:tcPr>
            <w:tcW w:w="1860" w:type="dxa"/>
            <w:tcMar>
              <w:top w:w="0" w:type="dxa"/>
              <w:bottom w:w="0" w:type="dxa"/>
            </w:tcMar>
            <w:vAlign w:val="center"/>
          </w:tcPr>
          <w:p w14:paraId="15653168" w14:textId="77777777" w:rsidR="00422385" w:rsidRDefault="00000000" w:rsidP="00F20266">
            <w:pPr>
              <w:keepNext/>
              <w:keepLines/>
              <w:spacing w:after="0" w:line="240" w:lineRule="auto"/>
              <w:jc w:val="both"/>
            </w:pPr>
            <w:r>
              <w:rPr>
                <w:sz w:val="18"/>
              </w:rPr>
              <w:t>27.188,75</w:t>
            </w:r>
          </w:p>
        </w:tc>
        <w:tc>
          <w:tcPr>
            <w:tcW w:w="1860" w:type="dxa"/>
            <w:tcMar>
              <w:top w:w="0" w:type="dxa"/>
              <w:bottom w:w="0" w:type="dxa"/>
            </w:tcMar>
            <w:vAlign w:val="center"/>
          </w:tcPr>
          <w:p w14:paraId="66250E63" w14:textId="77777777" w:rsidR="00422385" w:rsidRDefault="00000000" w:rsidP="00F20266">
            <w:pPr>
              <w:keepNext/>
              <w:keepLines/>
              <w:spacing w:after="0" w:line="240" w:lineRule="auto"/>
              <w:jc w:val="both"/>
            </w:pPr>
            <w:r>
              <w:rPr>
                <w:sz w:val="18"/>
              </w:rPr>
              <w:t>34.606,66</w:t>
            </w:r>
          </w:p>
        </w:tc>
        <w:tc>
          <w:tcPr>
            <w:tcW w:w="700" w:type="dxa"/>
            <w:tcMar>
              <w:top w:w="0" w:type="dxa"/>
              <w:bottom w:w="0" w:type="dxa"/>
            </w:tcMar>
            <w:vAlign w:val="center"/>
          </w:tcPr>
          <w:p w14:paraId="36A5E13A" w14:textId="77777777" w:rsidR="00422385" w:rsidRDefault="00000000" w:rsidP="00F20266">
            <w:pPr>
              <w:keepNext/>
              <w:keepLines/>
              <w:spacing w:after="0" w:line="240" w:lineRule="auto"/>
              <w:jc w:val="both"/>
            </w:pPr>
            <w:r>
              <w:rPr>
                <w:sz w:val="18"/>
              </w:rPr>
              <w:t>127,3</w:t>
            </w:r>
          </w:p>
        </w:tc>
      </w:tr>
    </w:tbl>
    <w:p w14:paraId="64635599" w14:textId="77777777" w:rsidR="00422385" w:rsidRDefault="00422385" w:rsidP="00F20266">
      <w:pPr>
        <w:spacing w:after="0"/>
        <w:jc w:val="both"/>
      </w:pPr>
    </w:p>
    <w:p w14:paraId="51D7B2D6" w14:textId="77777777" w:rsidR="00422385" w:rsidRDefault="00000000" w:rsidP="00F20266">
      <w:pPr>
        <w:jc w:val="both"/>
      </w:pPr>
      <w:r>
        <w:t xml:space="preserve">Potraživanja za </w:t>
      </w:r>
      <w:proofErr w:type="spellStart"/>
      <w:r>
        <w:t>jamčevne</w:t>
      </w:r>
      <w:proofErr w:type="spellEnd"/>
      <w:r>
        <w:t xml:space="preserve"> </w:t>
      </w:r>
      <w:proofErr w:type="spellStart"/>
      <w:r>
        <w:t>pologe</w:t>
      </w:r>
      <w:proofErr w:type="spellEnd"/>
      <w:r>
        <w:t>, od zaposlenih te za više plaćene poreze i ostalo (šifre 122 do 124 - 125 + 129) su na kraju izvještajnog razdoblja iznosila 34.606,66 EUR odnosno bila su veća za 27,3% u odnosu na 2024. godinu.</w:t>
      </w:r>
    </w:p>
    <w:p w14:paraId="5AF496EE" w14:textId="77777777" w:rsidR="00422385" w:rsidRDefault="00000000" w:rsidP="00F20266">
      <w:pPr>
        <w:jc w:val="both"/>
      </w:pPr>
      <w:r>
        <w:t xml:space="preserve">Razlog povećanja potraživanja za </w:t>
      </w:r>
      <w:proofErr w:type="spellStart"/>
      <w:r>
        <w:t>jamčevne</w:t>
      </w:r>
      <w:proofErr w:type="spellEnd"/>
      <w:r>
        <w:t xml:space="preserve"> </w:t>
      </w:r>
      <w:proofErr w:type="spellStart"/>
      <w:r>
        <w:t>pologe</w:t>
      </w:r>
      <w:proofErr w:type="spellEnd"/>
      <w:r>
        <w:t>, od zaposlenih te za više plaćene poreze i ostalo je na povećanju Ostalih potraživanja u odnosu na 2024. godinu za 27,3%.</w:t>
      </w:r>
    </w:p>
    <w:p w14:paraId="744F0478" w14:textId="77777777" w:rsidR="00422385" w:rsidRDefault="00000000" w:rsidP="00F20266">
      <w:pPr>
        <w:jc w:val="both"/>
      </w:pPr>
      <w:r>
        <w:t>Ostala potraživanja na kraju 2025. godine iznosila su 34.584,54 EUR, što predstavlja povećanje od 7.417,91 EUR odnosno više za 27,3% od 2024. godine.</w:t>
      </w:r>
    </w:p>
    <w:p w14:paraId="166B71E6" w14:textId="77777777" w:rsidR="00422385" w:rsidRDefault="00000000" w:rsidP="008C258B">
      <w:r>
        <w:t>Povećanje je proizašlo iz više plaćanja predujmovima, više doznačenih sredstva po godišnjem obračunu za 2025., povrata pretplata za nabavu lož ulja,  povrata sredstava za kupnju poklon bonova za službenike općine i dr.</w:t>
      </w:r>
      <w:r>
        <w:br/>
        <w:t> </w:t>
      </w:r>
    </w:p>
    <w:p w14:paraId="32FD333C" w14:textId="77777777" w:rsidR="00422385" w:rsidRDefault="00422385" w:rsidP="00F20266">
      <w:pPr>
        <w:jc w:val="both"/>
      </w:pPr>
    </w:p>
    <w:p w14:paraId="36A364DB" w14:textId="77777777" w:rsidR="00422385" w:rsidRDefault="00000000" w:rsidP="00F20266">
      <w:pPr>
        <w:keepNext/>
        <w:spacing w:line="240" w:lineRule="auto"/>
        <w:jc w:val="both"/>
      </w:pPr>
      <w:r>
        <w:rPr>
          <w:sz w:val="28"/>
        </w:rPr>
        <w:lastRenderedPageBreak/>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02204E66" w14:textId="77777777">
        <w:trPr>
          <w:cantSplit/>
        </w:trPr>
        <w:tc>
          <w:tcPr>
            <w:tcW w:w="700" w:type="dxa"/>
            <w:shd w:val="clear" w:color="auto" w:fill="E7F0F9"/>
            <w:tcMar>
              <w:top w:w="0" w:type="dxa"/>
              <w:bottom w:w="0" w:type="dxa"/>
            </w:tcMar>
            <w:vAlign w:val="center"/>
          </w:tcPr>
          <w:p w14:paraId="3560FA27"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6986C7"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F646D9D"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ACDFA67" w14:textId="77777777" w:rsidR="00422385" w:rsidRDefault="00000000" w:rsidP="00F20266">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1B0BF725" w14:textId="77777777" w:rsidR="00422385" w:rsidRDefault="00000000" w:rsidP="00F20266">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351502FC" w14:textId="77777777" w:rsidR="00422385" w:rsidRDefault="00000000" w:rsidP="00F20266">
            <w:pPr>
              <w:keepNext/>
              <w:keepLines/>
              <w:spacing w:after="0" w:line="240" w:lineRule="auto"/>
              <w:jc w:val="both"/>
            </w:pPr>
            <w:r>
              <w:rPr>
                <w:b/>
                <w:sz w:val="18"/>
              </w:rPr>
              <w:t>Indeks (%)</w:t>
            </w:r>
          </w:p>
        </w:tc>
      </w:tr>
      <w:tr w:rsidR="00422385" w14:paraId="51981D09" w14:textId="77777777">
        <w:trPr>
          <w:cantSplit/>
          <w:trHeight w:val="560"/>
        </w:trPr>
        <w:tc>
          <w:tcPr>
            <w:tcW w:w="700" w:type="dxa"/>
            <w:tcMar>
              <w:top w:w="0" w:type="dxa"/>
              <w:bottom w:w="0" w:type="dxa"/>
            </w:tcMar>
            <w:vAlign w:val="center"/>
          </w:tcPr>
          <w:p w14:paraId="2C6C5228" w14:textId="77777777" w:rsidR="00422385" w:rsidRDefault="00000000" w:rsidP="00F20266">
            <w:pPr>
              <w:keepNext/>
              <w:keepLines/>
              <w:spacing w:after="0" w:line="240" w:lineRule="auto"/>
              <w:jc w:val="both"/>
            </w:pPr>
            <w:r>
              <w:rPr>
                <w:sz w:val="18"/>
              </w:rPr>
              <w:t>165</w:t>
            </w:r>
          </w:p>
        </w:tc>
        <w:tc>
          <w:tcPr>
            <w:tcW w:w="3180" w:type="dxa"/>
            <w:tcMar>
              <w:top w:w="0" w:type="dxa"/>
              <w:bottom w:w="0" w:type="dxa"/>
            </w:tcMar>
            <w:vAlign w:val="center"/>
          </w:tcPr>
          <w:p w14:paraId="52989DBA" w14:textId="77777777" w:rsidR="00422385" w:rsidRDefault="00000000" w:rsidP="00F20266">
            <w:pPr>
              <w:keepNext/>
              <w:keepLines/>
              <w:spacing w:after="0" w:line="240" w:lineRule="auto"/>
              <w:jc w:val="both"/>
            </w:pPr>
            <w:r>
              <w:rPr>
                <w:sz w:val="18"/>
              </w:rPr>
              <w:t>Potraživanja za upravne i administrativne pristojbe, pristojbe po posebnim propisima i naknade</w:t>
            </w:r>
          </w:p>
        </w:tc>
        <w:tc>
          <w:tcPr>
            <w:tcW w:w="700" w:type="dxa"/>
            <w:tcMar>
              <w:top w:w="0" w:type="dxa"/>
              <w:bottom w:w="0" w:type="dxa"/>
            </w:tcMar>
            <w:vAlign w:val="center"/>
          </w:tcPr>
          <w:p w14:paraId="43E7C734" w14:textId="77777777" w:rsidR="00422385" w:rsidRDefault="00000000" w:rsidP="00F20266">
            <w:pPr>
              <w:keepNext/>
              <w:keepLines/>
              <w:spacing w:after="0" w:line="240" w:lineRule="auto"/>
              <w:jc w:val="both"/>
            </w:pPr>
            <w:r>
              <w:rPr>
                <w:sz w:val="18"/>
              </w:rPr>
              <w:t>165</w:t>
            </w:r>
          </w:p>
        </w:tc>
        <w:tc>
          <w:tcPr>
            <w:tcW w:w="1860" w:type="dxa"/>
            <w:tcMar>
              <w:top w:w="0" w:type="dxa"/>
              <w:bottom w:w="0" w:type="dxa"/>
            </w:tcMar>
            <w:vAlign w:val="center"/>
          </w:tcPr>
          <w:p w14:paraId="2DD1FF8A" w14:textId="77777777" w:rsidR="00422385" w:rsidRDefault="00000000" w:rsidP="00F20266">
            <w:pPr>
              <w:keepNext/>
              <w:keepLines/>
              <w:spacing w:after="0" w:line="240" w:lineRule="auto"/>
              <w:jc w:val="both"/>
            </w:pPr>
            <w:r>
              <w:rPr>
                <w:sz w:val="18"/>
              </w:rPr>
              <w:t>402.286,09</w:t>
            </w:r>
          </w:p>
        </w:tc>
        <w:tc>
          <w:tcPr>
            <w:tcW w:w="1860" w:type="dxa"/>
            <w:tcMar>
              <w:top w:w="0" w:type="dxa"/>
              <w:bottom w:w="0" w:type="dxa"/>
            </w:tcMar>
            <w:vAlign w:val="center"/>
          </w:tcPr>
          <w:p w14:paraId="6C452F51" w14:textId="77777777" w:rsidR="00422385" w:rsidRDefault="00000000" w:rsidP="00F20266">
            <w:pPr>
              <w:keepNext/>
              <w:keepLines/>
              <w:spacing w:after="0" w:line="240" w:lineRule="auto"/>
              <w:jc w:val="both"/>
            </w:pPr>
            <w:r>
              <w:rPr>
                <w:sz w:val="18"/>
              </w:rPr>
              <w:t>505.458,99</w:t>
            </w:r>
          </w:p>
        </w:tc>
        <w:tc>
          <w:tcPr>
            <w:tcW w:w="700" w:type="dxa"/>
            <w:tcMar>
              <w:top w:w="0" w:type="dxa"/>
              <w:bottom w:w="0" w:type="dxa"/>
            </w:tcMar>
            <w:vAlign w:val="center"/>
          </w:tcPr>
          <w:p w14:paraId="35351CA1" w14:textId="77777777" w:rsidR="00422385" w:rsidRDefault="00000000" w:rsidP="00F20266">
            <w:pPr>
              <w:keepNext/>
              <w:keepLines/>
              <w:spacing w:after="0" w:line="240" w:lineRule="auto"/>
              <w:jc w:val="both"/>
            </w:pPr>
            <w:r>
              <w:rPr>
                <w:sz w:val="18"/>
              </w:rPr>
              <w:t>125,6</w:t>
            </w:r>
          </w:p>
        </w:tc>
      </w:tr>
    </w:tbl>
    <w:p w14:paraId="539EC639" w14:textId="77777777" w:rsidR="00422385" w:rsidRDefault="00422385" w:rsidP="00F20266">
      <w:pPr>
        <w:spacing w:after="0"/>
        <w:jc w:val="both"/>
      </w:pPr>
    </w:p>
    <w:p w14:paraId="0D275E63" w14:textId="77777777" w:rsidR="00422385" w:rsidRDefault="00000000" w:rsidP="00F20266">
      <w:pPr>
        <w:jc w:val="both"/>
      </w:pPr>
      <w:r>
        <w:t>Potraživanja za upravne i administrativne pristojbe, pristojbe po posebnim propisima i naknade u izvještajnom razdoblju realizirana su u iznosu od 505.458,99 EUR odnosno za 25,6% više u odnosu na 2024. godinu.</w:t>
      </w:r>
    </w:p>
    <w:p w14:paraId="3A5CC219" w14:textId="77777777" w:rsidR="00422385" w:rsidRDefault="00000000" w:rsidP="00F20266">
      <w:pPr>
        <w:jc w:val="both"/>
      </w:pPr>
      <w:r>
        <w:t>Navedeno povećanje ponajviše se odnosi na potraživanja za obračunate komunalne doprinose.</w:t>
      </w:r>
    </w:p>
    <w:p w14:paraId="138F1386" w14:textId="77777777" w:rsidR="00422385" w:rsidRDefault="00000000" w:rsidP="00F20266">
      <w:pPr>
        <w:jc w:val="both"/>
      </w:pPr>
      <w:r>
        <w:t> </w:t>
      </w:r>
    </w:p>
    <w:p w14:paraId="72ECB85E" w14:textId="77777777" w:rsidR="00422385" w:rsidRDefault="00422385" w:rsidP="00F20266">
      <w:pPr>
        <w:jc w:val="both"/>
      </w:pPr>
    </w:p>
    <w:p w14:paraId="7E69F34B" w14:textId="77777777" w:rsidR="00422385" w:rsidRDefault="00000000" w:rsidP="00F20266">
      <w:pPr>
        <w:keepNext/>
        <w:spacing w:line="240" w:lineRule="auto"/>
        <w:jc w:val="both"/>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1DB42FC8" w14:textId="77777777">
        <w:trPr>
          <w:cantSplit/>
        </w:trPr>
        <w:tc>
          <w:tcPr>
            <w:tcW w:w="700" w:type="dxa"/>
            <w:shd w:val="clear" w:color="auto" w:fill="E7F0F9"/>
            <w:tcMar>
              <w:top w:w="0" w:type="dxa"/>
              <w:bottom w:w="0" w:type="dxa"/>
            </w:tcMar>
            <w:vAlign w:val="center"/>
          </w:tcPr>
          <w:p w14:paraId="41A77BE8"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495044"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4992A81"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3005CA0" w14:textId="77777777" w:rsidR="00422385" w:rsidRDefault="00000000" w:rsidP="00F20266">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3FEE1DB9" w14:textId="77777777" w:rsidR="00422385" w:rsidRDefault="00000000" w:rsidP="00F20266">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2CF71382" w14:textId="77777777" w:rsidR="00422385" w:rsidRDefault="00000000" w:rsidP="00F20266">
            <w:pPr>
              <w:keepNext/>
              <w:keepLines/>
              <w:spacing w:after="0" w:line="240" w:lineRule="auto"/>
              <w:jc w:val="both"/>
            </w:pPr>
            <w:r>
              <w:rPr>
                <w:b/>
                <w:sz w:val="18"/>
              </w:rPr>
              <w:t>Indeks (%)</w:t>
            </w:r>
          </w:p>
        </w:tc>
      </w:tr>
      <w:tr w:rsidR="00422385" w14:paraId="13B7927D" w14:textId="77777777">
        <w:trPr>
          <w:cantSplit/>
          <w:trHeight w:val="560"/>
        </w:trPr>
        <w:tc>
          <w:tcPr>
            <w:tcW w:w="700" w:type="dxa"/>
            <w:tcMar>
              <w:top w:w="0" w:type="dxa"/>
              <w:bottom w:w="0" w:type="dxa"/>
            </w:tcMar>
            <w:vAlign w:val="center"/>
          </w:tcPr>
          <w:p w14:paraId="2499BF0F" w14:textId="77777777" w:rsidR="00422385" w:rsidRDefault="00000000" w:rsidP="00F20266">
            <w:pPr>
              <w:keepNext/>
              <w:keepLines/>
              <w:spacing w:after="0" w:line="240" w:lineRule="auto"/>
              <w:jc w:val="both"/>
            </w:pPr>
            <w:r>
              <w:rPr>
                <w:sz w:val="18"/>
              </w:rPr>
              <w:t>169</w:t>
            </w:r>
          </w:p>
        </w:tc>
        <w:tc>
          <w:tcPr>
            <w:tcW w:w="3180" w:type="dxa"/>
            <w:tcMar>
              <w:top w:w="0" w:type="dxa"/>
              <w:bottom w:w="0" w:type="dxa"/>
            </w:tcMar>
            <w:vAlign w:val="center"/>
          </w:tcPr>
          <w:p w14:paraId="39436D27" w14:textId="77777777" w:rsidR="00422385" w:rsidRDefault="00000000" w:rsidP="00F20266">
            <w:pPr>
              <w:keepNext/>
              <w:keepLines/>
              <w:spacing w:after="0" w:line="240" w:lineRule="auto"/>
              <w:jc w:val="both"/>
            </w:pPr>
            <w:r>
              <w:rPr>
                <w:sz w:val="18"/>
              </w:rPr>
              <w:t>Ispravak vrijednosti potraživanja</w:t>
            </w:r>
          </w:p>
        </w:tc>
        <w:tc>
          <w:tcPr>
            <w:tcW w:w="700" w:type="dxa"/>
            <w:tcMar>
              <w:top w:w="0" w:type="dxa"/>
              <w:bottom w:w="0" w:type="dxa"/>
            </w:tcMar>
            <w:vAlign w:val="center"/>
          </w:tcPr>
          <w:p w14:paraId="6ABF4EAD" w14:textId="77777777" w:rsidR="00422385" w:rsidRDefault="00000000" w:rsidP="00F20266">
            <w:pPr>
              <w:keepNext/>
              <w:keepLines/>
              <w:spacing w:after="0" w:line="240" w:lineRule="auto"/>
              <w:jc w:val="both"/>
            </w:pPr>
            <w:r>
              <w:rPr>
                <w:sz w:val="18"/>
              </w:rPr>
              <w:t>169</w:t>
            </w:r>
          </w:p>
        </w:tc>
        <w:tc>
          <w:tcPr>
            <w:tcW w:w="1860" w:type="dxa"/>
            <w:tcMar>
              <w:top w:w="0" w:type="dxa"/>
              <w:bottom w:w="0" w:type="dxa"/>
            </w:tcMar>
            <w:vAlign w:val="center"/>
          </w:tcPr>
          <w:p w14:paraId="483A3710" w14:textId="77777777" w:rsidR="00422385" w:rsidRDefault="00000000" w:rsidP="00F20266">
            <w:pPr>
              <w:keepNext/>
              <w:keepLines/>
              <w:spacing w:after="0" w:line="240" w:lineRule="auto"/>
              <w:jc w:val="both"/>
            </w:pPr>
            <w:r>
              <w:rPr>
                <w:sz w:val="18"/>
              </w:rPr>
              <w:t>339.515,69</w:t>
            </w:r>
          </w:p>
        </w:tc>
        <w:tc>
          <w:tcPr>
            <w:tcW w:w="1860" w:type="dxa"/>
            <w:tcMar>
              <w:top w:w="0" w:type="dxa"/>
              <w:bottom w:w="0" w:type="dxa"/>
            </w:tcMar>
            <w:vAlign w:val="center"/>
          </w:tcPr>
          <w:p w14:paraId="7C5F3015" w14:textId="77777777" w:rsidR="00422385" w:rsidRDefault="00000000" w:rsidP="00F20266">
            <w:pPr>
              <w:keepNext/>
              <w:keepLines/>
              <w:spacing w:after="0" w:line="240" w:lineRule="auto"/>
              <w:jc w:val="both"/>
            </w:pPr>
            <w:r>
              <w:rPr>
                <w:sz w:val="18"/>
              </w:rPr>
              <w:t>583.836,70</w:t>
            </w:r>
          </w:p>
        </w:tc>
        <w:tc>
          <w:tcPr>
            <w:tcW w:w="700" w:type="dxa"/>
            <w:tcMar>
              <w:top w:w="0" w:type="dxa"/>
              <w:bottom w:w="0" w:type="dxa"/>
            </w:tcMar>
            <w:vAlign w:val="center"/>
          </w:tcPr>
          <w:p w14:paraId="6AC49C93" w14:textId="77777777" w:rsidR="00422385" w:rsidRDefault="00000000" w:rsidP="00F20266">
            <w:pPr>
              <w:keepNext/>
              <w:keepLines/>
              <w:spacing w:after="0" w:line="240" w:lineRule="auto"/>
              <w:jc w:val="both"/>
            </w:pPr>
            <w:r>
              <w:rPr>
                <w:sz w:val="18"/>
              </w:rPr>
              <w:t>172,0</w:t>
            </w:r>
          </w:p>
        </w:tc>
      </w:tr>
    </w:tbl>
    <w:p w14:paraId="047B8C39" w14:textId="77777777" w:rsidR="00422385" w:rsidRDefault="00422385" w:rsidP="00F20266">
      <w:pPr>
        <w:spacing w:after="0"/>
        <w:jc w:val="both"/>
      </w:pPr>
    </w:p>
    <w:p w14:paraId="12BF0CC6" w14:textId="77777777" w:rsidR="00422385" w:rsidRDefault="00000000" w:rsidP="008C258B">
      <w:r>
        <w:t>Ispravak vrijednosti potraživanja (šifra169) na kraju izvještajnog razdoblja iznosi 583.836,70 EUR odnosno 72% više u odnosu na 2024. godinu zbog znatno većeg iznosa onih potraživanja koja su prešla tri godine da su "otvorena".</w:t>
      </w:r>
      <w:r>
        <w:br/>
        <w:t> </w:t>
      </w:r>
    </w:p>
    <w:p w14:paraId="4659C5E5" w14:textId="77777777" w:rsidR="00422385" w:rsidRDefault="00422385" w:rsidP="00F20266">
      <w:pPr>
        <w:jc w:val="both"/>
      </w:pPr>
    </w:p>
    <w:p w14:paraId="7D09C458" w14:textId="77777777" w:rsidR="00422385" w:rsidRDefault="00000000" w:rsidP="00F20266">
      <w:pPr>
        <w:keepNext/>
        <w:spacing w:line="240" w:lineRule="auto"/>
        <w:jc w:val="both"/>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46E27714" w14:textId="77777777">
        <w:trPr>
          <w:cantSplit/>
        </w:trPr>
        <w:tc>
          <w:tcPr>
            <w:tcW w:w="700" w:type="dxa"/>
            <w:shd w:val="clear" w:color="auto" w:fill="E7F0F9"/>
            <w:tcMar>
              <w:top w:w="0" w:type="dxa"/>
              <w:bottom w:w="0" w:type="dxa"/>
            </w:tcMar>
            <w:vAlign w:val="center"/>
          </w:tcPr>
          <w:p w14:paraId="7ABE6238"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CB0117"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AF5CE36"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2F4B506" w14:textId="77777777" w:rsidR="00422385" w:rsidRDefault="00000000" w:rsidP="00F20266">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70D184FD" w14:textId="77777777" w:rsidR="00422385" w:rsidRDefault="00000000" w:rsidP="00F20266">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30E7C7A3" w14:textId="77777777" w:rsidR="00422385" w:rsidRDefault="00000000" w:rsidP="00F20266">
            <w:pPr>
              <w:keepNext/>
              <w:keepLines/>
              <w:spacing w:after="0" w:line="240" w:lineRule="auto"/>
              <w:jc w:val="both"/>
            </w:pPr>
            <w:r>
              <w:rPr>
                <w:b/>
                <w:sz w:val="18"/>
              </w:rPr>
              <w:t>Indeks (%)</w:t>
            </w:r>
          </w:p>
        </w:tc>
      </w:tr>
      <w:tr w:rsidR="00422385" w14:paraId="567A75CF" w14:textId="77777777">
        <w:trPr>
          <w:cantSplit/>
          <w:trHeight w:val="560"/>
        </w:trPr>
        <w:tc>
          <w:tcPr>
            <w:tcW w:w="700" w:type="dxa"/>
            <w:tcMar>
              <w:top w:w="0" w:type="dxa"/>
              <w:bottom w:w="0" w:type="dxa"/>
            </w:tcMar>
            <w:vAlign w:val="center"/>
          </w:tcPr>
          <w:p w14:paraId="78FF2350" w14:textId="77777777" w:rsidR="00422385" w:rsidRDefault="00422385" w:rsidP="00F20266">
            <w:pPr>
              <w:keepNext/>
              <w:keepLines/>
              <w:spacing w:after="0" w:line="240" w:lineRule="auto"/>
              <w:jc w:val="both"/>
            </w:pPr>
          </w:p>
        </w:tc>
        <w:tc>
          <w:tcPr>
            <w:tcW w:w="3180" w:type="dxa"/>
            <w:tcMar>
              <w:top w:w="0" w:type="dxa"/>
              <w:bottom w:w="0" w:type="dxa"/>
            </w:tcMar>
            <w:vAlign w:val="center"/>
          </w:tcPr>
          <w:p w14:paraId="6EFAA73A" w14:textId="77777777" w:rsidR="00422385" w:rsidRDefault="00000000" w:rsidP="00F20266">
            <w:pPr>
              <w:keepNext/>
              <w:keepLines/>
              <w:spacing w:after="0" w:line="240" w:lineRule="auto"/>
              <w:jc w:val="both"/>
            </w:pPr>
            <w:r>
              <w:rPr>
                <w:sz w:val="18"/>
              </w:rPr>
              <w:t>OBVEZE I VLASTITI IZVORI (šifre 2+9)</w:t>
            </w:r>
          </w:p>
        </w:tc>
        <w:tc>
          <w:tcPr>
            <w:tcW w:w="700" w:type="dxa"/>
            <w:tcMar>
              <w:top w:w="0" w:type="dxa"/>
              <w:bottom w:w="0" w:type="dxa"/>
            </w:tcMar>
            <w:vAlign w:val="center"/>
          </w:tcPr>
          <w:p w14:paraId="20EE3CF4" w14:textId="77777777" w:rsidR="00422385" w:rsidRDefault="00000000" w:rsidP="00F20266">
            <w:pPr>
              <w:keepNext/>
              <w:keepLines/>
              <w:spacing w:after="0" w:line="240" w:lineRule="auto"/>
              <w:jc w:val="both"/>
            </w:pPr>
            <w:r>
              <w:rPr>
                <w:sz w:val="18"/>
              </w:rPr>
              <w:t>B003</w:t>
            </w:r>
          </w:p>
        </w:tc>
        <w:tc>
          <w:tcPr>
            <w:tcW w:w="1860" w:type="dxa"/>
            <w:tcMar>
              <w:top w:w="0" w:type="dxa"/>
              <w:bottom w:w="0" w:type="dxa"/>
            </w:tcMar>
            <w:vAlign w:val="center"/>
          </w:tcPr>
          <w:p w14:paraId="6EA5313B" w14:textId="77777777" w:rsidR="00422385" w:rsidRDefault="00000000" w:rsidP="00F20266">
            <w:pPr>
              <w:keepNext/>
              <w:keepLines/>
              <w:spacing w:after="0" w:line="240" w:lineRule="auto"/>
              <w:jc w:val="both"/>
            </w:pPr>
            <w:r>
              <w:rPr>
                <w:sz w:val="18"/>
              </w:rPr>
              <w:t>25.742.804,25</w:t>
            </w:r>
          </w:p>
        </w:tc>
        <w:tc>
          <w:tcPr>
            <w:tcW w:w="1860" w:type="dxa"/>
            <w:tcMar>
              <w:top w:w="0" w:type="dxa"/>
              <w:bottom w:w="0" w:type="dxa"/>
            </w:tcMar>
            <w:vAlign w:val="center"/>
          </w:tcPr>
          <w:p w14:paraId="525EA768" w14:textId="77777777" w:rsidR="00422385" w:rsidRDefault="00000000" w:rsidP="00F20266">
            <w:pPr>
              <w:keepNext/>
              <w:keepLines/>
              <w:spacing w:after="0" w:line="240" w:lineRule="auto"/>
              <w:jc w:val="both"/>
            </w:pPr>
            <w:r>
              <w:rPr>
                <w:sz w:val="18"/>
              </w:rPr>
              <w:t>39.273.009,22</w:t>
            </w:r>
          </w:p>
        </w:tc>
        <w:tc>
          <w:tcPr>
            <w:tcW w:w="700" w:type="dxa"/>
            <w:tcMar>
              <w:top w:w="0" w:type="dxa"/>
              <w:bottom w:w="0" w:type="dxa"/>
            </w:tcMar>
            <w:vAlign w:val="center"/>
          </w:tcPr>
          <w:p w14:paraId="14492E1B" w14:textId="77777777" w:rsidR="00422385" w:rsidRDefault="00000000" w:rsidP="00F20266">
            <w:pPr>
              <w:keepNext/>
              <w:keepLines/>
              <w:spacing w:after="0" w:line="240" w:lineRule="auto"/>
              <w:jc w:val="both"/>
            </w:pPr>
            <w:r>
              <w:rPr>
                <w:sz w:val="18"/>
              </w:rPr>
              <w:t>152,6</w:t>
            </w:r>
          </w:p>
        </w:tc>
      </w:tr>
    </w:tbl>
    <w:p w14:paraId="3306624A" w14:textId="77777777" w:rsidR="00422385" w:rsidRDefault="00422385" w:rsidP="00F20266">
      <w:pPr>
        <w:spacing w:after="0"/>
        <w:jc w:val="both"/>
      </w:pPr>
    </w:p>
    <w:p w14:paraId="16F56D6D" w14:textId="77777777" w:rsidR="00422385" w:rsidRDefault="00000000" w:rsidP="00F20266">
      <w:pPr>
        <w:jc w:val="both"/>
      </w:pPr>
      <w:r>
        <w:t>OBVEZE I VLASTITI IZVORI (šifre 2+9) B003 na kraju izvještajnog razdoblja iznose 39.273.009,22 EUR odnosno imaju indeks od 152,6, što je povećanje od 52,6 % u odnosu na 2024. godinu.</w:t>
      </w:r>
    </w:p>
    <w:p w14:paraId="6073BF72" w14:textId="77777777" w:rsidR="00422385" w:rsidRDefault="00000000" w:rsidP="00F20266">
      <w:pPr>
        <w:jc w:val="both"/>
      </w:pPr>
      <w:r>
        <w:t>Šifra B003 sastoji se od iznosa obveza koje na kraju izvještajnog razdoblja  iznose 1.799.161,07 EUR odnosno 20,5% više od 2024. godine i vlastitih izvora koja iznose 37.473.848,15 EUR odnosno 54,5% više u odnosu na prethodnu 2024. godinu.</w:t>
      </w:r>
    </w:p>
    <w:p w14:paraId="538451E1" w14:textId="77777777" w:rsidR="00422385" w:rsidRDefault="00422385" w:rsidP="00F20266">
      <w:pPr>
        <w:jc w:val="both"/>
      </w:pPr>
    </w:p>
    <w:p w14:paraId="1645F9EF" w14:textId="77777777" w:rsidR="00422385" w:rsidRDefault="00000000" w:rsidP="00F20266">
      <w:pPr>
        <w:keepNext/>
        <w:spacing w:line="240" w:lineRule="auto"/>
        <w:jc w:val="both"/>
      </w:pPr>
      <w:r>
        <w:rPr>
          <w:sz w:val="28"/>
        </w:rPr>
        <w:lastRenderedPageBreak/>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05B84435" w14:textId="77777777">
        <w:trPr>
          <w:cantSplit/>
        </w:trPr>
        <w:tc>
          <w:tcPr>
            <w:tcW w:w="700" w:type="dxa"/>
            <w:shd w:val="clear" w:color="auto" w:fill="E7F0F9"/>
            <w:tcMar>
              <w:top w:w="0" w:type="dxa"/>
              <w:bottom w:w="0" w:type="dxa"/>
            </w:tcMar>
            <w:vAlign w:val="center"/>
          </w:tcPr>
          <w:p w14:paraId="15920D75"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1B0DDC"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BEF67EB"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A7288A6" w14:textId="77777777" w:rsidR="00422385" w:rsidRDefault="00000000" w:rsidP="00F20266">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76F11FE5" w14:textId="77777777" w:rsidR="00422385" w:rsidRDefault="00000000" w:rsidP="00F20266">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1B617AFF" w14:textId="77777777" w:rsidR="00422385" w:rsidRDefault="00000000" w:rsidP="00F20266">
            <w:pPr>
              <w:keepNext/>
              <w:keepLines/>
              <w:spacing w:after="0" w:line="240" w:lineRule="auto"/>
              <w:jc w:val="both"/>
            </w:pPr>
            <w:r>
              <w:rPr>
                <w:b/>
                <w:sz w:val="18"/>
              </w:rPr>
              <w:t>Indeks (%)</w:t>
            </w:r>
          </w:p>
        </w:tc>
      </w:tr>
      <w:tr w:rsidR="00422385" w14:paraId="0AB7197D" w14:textId="77777777">
        <w:trPr>
          <w:cantSplit/>
          <w:trHeight w:val="560"/>
        </w:trPr>
        <w:tc>
          <w:tcPr>
            <w:tcW w:w="700" w:type="dxa"/>
            <w:tcMar>
              <w:top w:w="0" w:type="dxa"/>
              <w:bottom w:w="0" w:type="dxa"/>
            </w:tcMar>
            <w:vAlign w:val="center"/>
          </w:tcPr>
          <w:p w14:paraId="091D683E" w14:textId="77777777" w:rsidR="00422385" w:rsidRDefault="00000000" w:rsidP="00F20266">
            <w:pPr>
              <w:keepNext/>
              <w:keepLines/>
              <w:spacing w:after="0" w:line="240" w:lineRule="auto"/>
              <w:jc w:val="both"/>
            </w:pPr>
            <w:r>
              <w:rPr>
                <w:sz w:val="18"/>
              </w:rPr>
              <w:t>2</w:t>
            </w:r>
          </w:p>
        </w:tc>
        <w:tc>
          <w:tcPr>
            <w:tcW w:w="3180" w:type="dxa"/>
            <w:tcMar>
              <w:top w:w="0" w:type="dxa"/>
              <w:bottom w:w="0" w:type="dxa"/>
            </w:tcMar>
            <w:vAlign w:val="center"/>
          </w:tcPr>
          <w:p w14:paraId="4834D4D6" w14:textId="77777777" w:rsidR="00422385" w:rsidRDefault="00000000" w:rsidP="00F20266">
            <w:pPr>
              <w:keepNext/>
              <w:keepLines/>
              <w:spacing w:after="0" w:line="240" w:lineRule="auto"/>
              <w:jc w:val="both"/>
            </w:pPr>
            <w:r>
              <w:rPr>
                <w:sz w:val="18"/>
              </w:rPr>
              <w:t>Obveze (šifre 23+24+25+26+27+29)</w:t>
            </w:r>
          </w:p>
        </w:tc>
        <w:tc>
          <w:tcPr>
            <w:tcW w:w="700" w:type="dxa"/>
            <w:tcMar>
              <w:top w:w="0" w:type="dxa"/>
              <w:bottom w:w="0" w:type="dxa"/>
            </w:tcMar>
            <w:vAlign w:val="center"/>
          </w:tcPr>
          <w:p w14:paraId="2DD5E611" w14:textId="77777777" w:rsidR="00422385" w:rsidRDefault="00000000" w:rsidP="00F20266">
            <w:pPr>
              <w:keepNext/>
              <w:keepLines/>
              <w:spacing w:after="0" w:line="240" w:lineRule="auto"/>
              <w:jc w:val="both"/>
            </w:pPr>
            <w:r>
              <w:rPr>
                <w:sz w:val="18"/>
              </w:rPr>
              <w:t>2</w:t>
            </w:r>
          </w:p>
        </w:tc>
        <w:tc>
          <w:tcPr>
            <w:tcW w:w="1860" w:type="dxa"/>
            <w:tcMar>
              <w:top w:w="0" w:type="dxa"/>
              <w:bottom w:w="0" w:type="dxa"/>
            </w:tcMar>
            <w:vAlign w:val="center"/>
          </w:tcPr>
          <w:p w14:paraId="01E7E93B" w14:textId="77777777" w:rsidR="00422385" w:rsidRDefault="00000000" w:rsidP="00F20266">
            <w:pPr>
              <w:keepNext/>
              <w:keepLines/>
              <w:spacing w:after="0" w:line="240" w:lineRule="auto"/>
              <w:jc w:val="both"/>
            </w:pPr>
            <w:r>
              <w:rPr>
                <w:sz w:val="18"/>
              </w:rPr>
              <w:t>1.492.922,44</w:t>
            </w:r>
          </w:p>
        </w:tc>
        <w:tc>
          <w:tcPr>
            <w:tcW w:w="1860" w:type="dxa"/>
            <w:tcMar>
              <w:top w:w="0" w:type="dxa"/>
              <w:bottom w:w="0" w:type="dxa"/>
            </w:tcMar>
            <w:vAlign w:val="center"/>
          </w:tcPr>
          <w:p w14:paraId="38EB21C0" w14:textId="77777777" w:rsidR="00422385" w:rsidRDefault="00000000" w:rsidP="00F20266">
            <w:pPr>
              <w:keepNext/>
              <w:keepLines/>
              <w:spacing w:after="0" w:line="240" w:lineRule="auto"/>
              <w:jc w:val="both"/>
            </w:pPr>
            <w:r>
              <w:rPr>
                <w:sz w:val="18"/>
              </w:rPr>
              <w:t>1.799.161,07</w:t>
            </w:r>
          </w:p>
        </w:tc>
        <w:tc>
          <w:tcPr>
            <w:tcW w:w="700" w:type="dxa"/>
            <w:tcMar>
              <w:top w:w="0" w:type="dxa"/>
              <w:bottom w:w="0" w:type="dxa"/>
            </w:tcMar>
            <w:vAlign w:val="center"/>
          </w:tcPr>
          <w:p w14:paraId="2F7A87C3" w14:textId="77777777" w:rsidR="00422385" w:rsidRDefault="00000000" w:rsidP="00F20266">
            <w:pPr>
              <w:keepNext/>
              <w:keepLines/>
              <w:spacing w:after="0" w:line="240" w:lineRule="auto"/>
              <w:jc w:val="both"/>
            </w:pPr>
            <w:r>
              <w:rPr>
                <w:sz w:val="18"/>
              </w:rPr>
              <w:t>120,5</w:t>
            </w:r>
          </w:p>
        </w:tc>
      </w:tr>
    </w:tbl>
    <w:p w14:paraId="2D597520" w14:textId="77777777" w:rsidR="00422385" w:rsidRDefault="00422385" w:rsidP="00F20266">
      <w:pPr>
        <w:spacing w:after="0"/>
        <w:jc w:val="both"/>
      </w:pPr>
    </w:p>
    <w:p w14:paraId="5BEF269D" w14:textId="77777777" w:rsidR="00422385" w:rsidRDefault="00000000" w:rsidP="00F20266">
      <w:pPr>
        <w:jc w:val="both"/>
      </w:pPr>
      <w:r>
        <w:t>Obveze (šifre 23+24+25+26+27+29) su na kraju izvještajnog razdoblja iznosile 1.799.161,07 EUR odnosno 20,5% više u odnosu na 2024. godinu kad su ostvarene u iznosu od 1.492.922,44 EUR.</w:t>
      </w:r>
      <w:r>
        <w:br/>
      </w:r>
    </w:p>
    <w:p w14:paraId="00A934A6" w14:textId="77777777" w:rsidR="00422385" w:rsidRDefault="00000000" w:rsidP="00F20266">
      <w:pPr>
        <w:jc w:val="both"/>
      </w:pPr>
      <w:r>
        <w:t>Povećanje obveza za 20,5% odnosi se najvećim dijelom na povećanje obveza za kredite i zajmove, koja su povećana za 54,2% u odnosu na 2024. godinu i to sa 681.832,25 EUR  na 1.051.350,88 EUR, dok su ostale obveze pretežno % smanjene u odnosu na prethodnu izvještajnu godinu.</w:t>
      </w:r>
    </w:p>
    <w:p w14:paraId="76556F16" w14:textId="77777777" w:rsidR="00422385" w:rsidRDefault="00000000" w:rsidP="00F20266">
      <w:pPr>
        <w:jc w:val="both"/>
      </w:pPr>
      <w:r>
        <w:t> </w:t>
      </w:r>
    </w:p>
    <w:p w14:paraId="46939455" w14:textId="77777777" w:rsidR="00422385" w:rsidRDefault="00422385" w:rsidP="00F20266">
      <w:pPr>
        <w:jc w:val="both"/>
      </w:pPr>
    </w:p>
    <w:p w14:paraId="26AE5121" w14:textId="77777777" w:rsidR="00422385" w:rsidRDefault="00000000" w:rsidP="00F20266">
      <w:pPr>
        <w:keepNext/>
        <w:spacing w:line="240" w:lineRule="auto"/>
        <w:jc w:val="both"/>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206BB016" w14:textId="77777777">
        <w:trPr>
          <w:cantSplit/>
        </w:trPr>
        <w:tc>
          <w:tcPr>
            <w:tcW w:w="700" w:type="dxa"/>
            <w:shd w:val="clear" w:color="auto" w:fill="E7F0F9"/>
            <w:tcMar>
              <w:top w:w="0" w:type="dxa"/>
              <w:bottom w:w="0" w:type="dxa"/>
            </w:tcMar>
            <w:vAlign w:val="center"/>
          </w:tcPr>
          <w:p w14:paraId="086B2713"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C6AD57"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DF4A73E"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DC0B7AF" w14:textId="77777777" w:rsidR="00422385" w:rsidRDefault="00000000" w:rsidP="00F20266">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65539D52" w14:textId="77777777" w:rsidR="00422385" w:rsidRDefault="00000000" w:rsidP="00F20266">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53C75098" w14:textId="77777777" w:rsidR="00422385" w:rsidRDefault="00000000" w:rsidP="00F20266">
            <w:pPr>
              <w:keepNext/>
              <w:keepLines/>
              <w:spacing w:after="0" w:line="240" w:lineRule="auto"/>
              <w:jc w:val="both"/>
            </w:pPr>
            <w:r>
              <w:rPr>
                <w:b/>
                <w:sz w:val="18"/>
              </w:rPr>
              <w:t>Indeks (%)</w:t>
            </w:r>
          </w:p>
        </w:tc>
      </w:tr>
      <w:tr w:rsidR="00422385" w14:paraId="5D1D8CA2" w14:textId="77777777">
        <w:trPr>
          <w:cantSplit/>
          <w:trHeight w:val="560"/>
        </w:trPr>
        <w:tc>
          <w:tcPr>
            <w:tcW w:w="700" w:type="dxa"/>
            <w:tcMar>
              <w:top w:w="0" w:type="dxa"/>
              <w:bottom w:w="0" w:type="dxa"/>
            </w:tcMar>
            <w:vAlign w:val="center"/>
          </w:tcPr>
          <w:p w14:paraId="5E4EFFCD" w14:textId="77777777" w:rsidR="00422385" w:rsidRDefault="00000000" w:rsidP="00F20266">
            <w:pPr>
              <w:keepNext/>
              <w:keepLines/>
              <w:spacing w:after="0" w:line="240" w:lineRule="auto"/>
              <w:jc w:val="both"/>
            </w:pPr>
            <w:r>
              <w:rPr>
                <w:sz w:val="18"/>
              </w:rPr>
              <w:t>231</w:t>
            </w:r>
          </w:p>
        </w:tc>
        <w:tc>
          <w:tcPr>
            <w:tcW w:w="3180" w:type="dxa"/>
            <w:tcMar>
              <w:top w:w="0" w:type="dxa"/>
              <w:bottom w:w="0" w:type="dxa"/>
            </w:tcMar>
            <w:vAlign w:val="center"/>
          </w:tcPr>
          <w:p w14:paraId="17B84413" w14:textId="77777777" w:rsidR="00422385" w:rsidRDefault="00000000" w:rsidP="00F20266">
            <w:pPr>
              <w:keepNext/>
              <w:keepLines/>
              <w:spacing w:after="0" w:line="240" w:lineRule="auto"/>
              <w:jc w:val="both"/>
            </w:pPr>
            <w:r>
              <w:rPr>
                <w:sz w:val="18"/>
              </w:rPr>
              <w:t>Obveze za zaposlene</w:t>
            </w:r>
          </w:p>
        </w:tc>
        <w:tc>
          <w:tcPr>
            <w:tcW w:w="700" w:type="dxa"/>
            <w:tcMar>
              <w:top w:w="0" w:type="dxa"/>
              <w:bottom w:w="0" w:type="dxa"/>
            </w:tcMar>
            <w:vAlign w:val="center"/>
          </w:tcPr>
          <w:p w14:paraId="13185643" w14:textId="77777777" w:rsidR="00422385" w:rsidRDefault="00000000" w:rsidP="00F20266">
            <w:pPr>
              <w:keepNext/>
              <w:keepLines/>
              <w:spacing w:after="0" w:line="240" w:lineRule="auto"/>
              <w:jc w:val="both"/>
            </w:pPr>
            <w:r>
              <w:rPr>
                <w:sz w:val="18"/>
              </w:rPr>
              <w:t>231</w:t>
            </w:r>
          </w:p>
        </w:tc>
        <w:tc>
          <w:tcPr>
            <w:tcW w:w="1860" w:type="dxa"/>
            <w:tcMar>
              <w:top w:w="0" w:type="dxa"/>
              <w:bottom w:w="0" w:type="dxa"/>
            </w:tcMar>
            <w:vAlign w:val="center"/>
          </w:tcPr>
          <w:p w14:paraId="27B1F526" w14:textId="77777777" w:rsidR="00422385" w:rsidRDefault="00000000" w:rsidP="00F20266">
            <w:pPr>
              <w:keepNext/>
              <w:keepLines/>
              <w:spacing w:after="0" w:line="240" w:lineRule="auto"/>
              <w:jc w:val="both"/>
            </w:pPr>
            <w:r>
              <w:rPr>
                <w:sz w:val="18"/>
              </w:rPr>
              <w:t>35.175,47</w:t>
            </w:r>
          </w:p>
        </w:tc>
        <w:tc>
          <w:tcPr>
            <w:tcW w:w="1860" w:type="dxa"/>
            <w:tcMar>
              <w:top w:w="0" w:type="dxa"/>
              <w:bottom w:w="0" w:type="dxa"/>
            </w:tcMar>
            <w:vAlign w:val="center"/>
          </w:tcPr>
          <w:p w14:paraId="71167E1B" w14:textId="77777777" w:rsidR="00422385" w:rsidRDefault="00000000" w:rsidP="00F20266">
            <w:pPr>
              <w:keepNext/>
              <w:keepLines/>
              <w:spacing w:after="0" w:line="240" w:lineRule="auto"/>
              <w:jc w:val="both"/>
            </w:pPr>
            <w:r>
              <w:rPr>
                <w:sz w:val="18"/>
              </w:rPr>
              <w:t>48.136,44</w:t>
            </w:r>
          </w:p>
        </w:tc>
        <w:tc>
          <w:tcPr>
            <w:tcW w:w="700" w:type="dxa"/>
            <w:tcMar>
              <w:top w:w="0" w:type="dxa"/>
              <w:bottom w:w="0" w:type="dxa"/>
            </w:tcMar>
            <w:vAlign w:val="center"/>
          </w:tcPr>
          <w:p w14:paraId="06F0C0B5" w14:textId="77777777" w:rsidR="00422385" w:rsidRDefault="00000000" w:rsidP="00F20266">
            <w:pPr>
              <w:keepNext/>
              <w:keepLines/>
              <w:spacing w:after="0" w:line="240" w:lineRule="auto"/>
              <w:jc w:val="both"/>
            </w:pPr>
            <w:r>
              <w:rPr>
                <w:sz w:val="18"/>
              </w:rPr>
              <w:t>136,8</w:t>
            </w:r>
          </w:p>
        </w:tc>
      </w:tr>
    </w:tbl>
    <w:p w14:paraId="51A91B7C" w14:textId="77777777" w:rsidR="00422385" w:rsidRDefault="00422385" w:rsidP="00F20266">
      <w:pPr>
        <w:spacing w:after="0"/>
        <w:jc w:val="both"/>
      </w:pPr>
    </w:p>
    <w:p w14:paraId="5F904ED1" w14:textId="77777777" w:rsidR="00422385" w:rsidRDefault="00000000" w:rsidP="00F20266">
      <w:pPr>
        <w:jc w:val="both"/>
      </w:pPr>
      <w:r>
        <w:t>Obveze za zaposlene na kraju izvještajnog razdoblja iznose 48.136,44 EUR što predstavlja povećanje za 36,8% u odnosu na 2024. godinu zbog povećanja osnovice za obračun plaća službenika, ali i načelnika Općine.</w:t>
      </w:r>
    </w:p>
    <w:p w14:paraId="3E2CA1E9" w14:textId="77777777" w:rsidR="00422385" w:rsidRDefault="00422385" w:rsidP="00F20266">
      <w:pPr>
        <w:jc w:val="both"/>
      </w:pPr>
    </w:p>
    <w:p w14:paraId="514C3665" w14:textId="77777777" w:rsidR="00422385" w:rsidRDefault="00000000" w:rsidP="00F20266">
      <w:pPr>
        <w:keepNext/>
        <w:spacing w:line="240" w:lineRule="auto"/>
        <w:jc w:val="both"/>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4C43FF88" w14:textId="77777777">
        <w:trPr>
          <w:cantSplit/>
        </w:trPr>
        <w:tc>
          <w:tcPr>
            <w:tcW w:w="700" w:type="dxa"/>
            <w:shd w:val="clear" w:color="auto" w:fill="E7F0F9"/>
            <w:tcMar>
              <w:top w:w="0" w:type="dxa"/>
              <w:bottom w:w="0" w:type="dxa"/>
            </w:tcMar>
            <w:vAlign w:val="center"/>
          </w:tcPr>
          <w:p w14:paraId="73CF96DB"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DB4B69"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0E90516"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6750644" w14:textId="77777777" w:rsidR="00422385" w:rsidRDefault="00000000" w:rsidP="00F20266">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327E4069" w14:textId="77777777" w:rsidR="00422385" w:rsidRDefault="00000000" w:rsidP="00F20266">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3079D097" w14:textId="77777777" w:rsidR="00422385" w:rsidRDefault="00000000" w:rsidP="00F20266">
            <w:pPr>
              <w:keepNext/>
              <w:keepLines/>
              <w:spacing w:after="0" w:line="240" w:lineRule="auto"/>
              <w:jc w:val="both"/>
            </w:pPr>
            <w:r>
              <w:rPr>
                <w:b/>
                <w:sz w:val="18"/>
              </w:rPr>
              <w:t>Indeks (%)</w:t>
            </w:r>
          </w:p>
        </w:tc>
      </w:tr>
      <w:tr w:rsidR="00422385" w14:paraId="45B25677" w14:textId="77777777">
        <w:trPr>
          <w:cantSplit/>
          <w:trHeight w:val="560"/>
        </w:trPr>
        <w:tc>
          <w:tcPr>
            <w:tcW w:w="700" w:type="dxa"/>
            <w:tcMar>
              <w:top w:w="0" w:type="dxa"/>
              <w:bottom w:w="0" w:type="dxa"/>
            </w:tcMar>
            <w:vAlign w:val="center"/>
          </w:tcPr>
          <w:p w14:paraId="67AED39A" w14:textId="77777777" w:rsidR="00422385" w:rsidRDefault="00000000" w:rsidP="00F20266">
            <w:pPr>
              <w:keepNext/>
              <w:keepLines/>
              <w:spacing w:after="0" w:line="240" w:lineRule="auto"/>
              <w:jc w:val="both"/>
            </w:pPr>
            <w:r>
              <w:rPr>
                <w:sz w:val="18"/>
              </w:rPr>
              <w:t>237</w:t>
            </w:r>
          </w:p>
        </w:tc>
        <w:tc>
          <w:tcPr>
            <w:tcW w:w="3180" w:type="dxa"/>
            <w:tcMar>
              <w:top w:w="0" w:type="dxa"/>
              <w:bottom w:w="0" w:type="dxa"/>
            </w:tcMar>
            <w:vAlign w:val="center"/>
          </w:tcPr>
          <w:p w14:paraId="38F8BAEC" w14:textId="77777777" w:rsidR="00422385" w:rsidRDefault="00000000" w:rsidP="00F20266">
            <w:pPr>
              <w:keepNext/>
              <w:keepLines/>
              <w:spacing w:after="0" w:line="240" w:lineRule="auto"/>
              <w:jc w:val="both"/>
            </w:pPr>
            <w:r>
              <w:rPr>
                <w:sz w:val="18"/>
              </w:rPr>
              <w:t>Obveze za naknade građanima i kućanstvima</w:t>
            </w:r>
          </w:p>
        </w:tc>
        <w:tc>
          <w:tcPr>
            <w:tcW w:w="700" w:type="dxa"/>
            <w:tcMar>
              <w:top w:w="0" w:type="dxa"/>
              <w:bottom w:w="0" w:type="dxa"/>
            </w:tcMar>
            <w:vAlign w:val="center"/>
          </w:tcPr>
          <w:p w14:paraId="3927D2DE" w14:textId="77777777" w:rsidR="00422385" w:rsidRDefault="00000000" w:rsidP="00F20266">
            <w:pPr>
              <w:keepNext/>
              <w:keepLines/>
              <w:spacing w:after="0" w:line="240" w:lineRule="auto"/>
              <w:jc w:val="both"/>
            </w:pPr>
            <w:r>
              <w:rPr>
                <w:sz w:val="18"/>
              </w:rPr>
              <w:t>237</w:t>
            </w:r>
          </w:p>
        </w:tc>
        <w:tc>
          <w:tcPr>
            <w:tcW w:w="1860" w:type="dxa"/>
            <w:tcMar>
              <w:top w:w="0" w:type="dxa"/>
              <w:bottom w:w="0" w:type="dxa"/>
            </w:tcMar>
            <w:vAlign w:val="center"/>
          </w:tcPr>
          <w:p w14:paraId="47D14E0A" w14:textId="77777777" w:rsidR="00422385" w:rsidRDefault="00000000" w:rsidP="00F20266">
            <w:pPr>
              <w:keepNext/>
              <w:keepLines/>
              <w:spacing w:after="0" w:line="240" w:lineRule="auto"/>
              <w:jc w:val="both"/>
            </w:pPr>
            <w:r>
              <w:rPr>
                <w:sz w:val="18"/>
              </w:rPr>
              <w:t>10.842,12</w:t>
            </w:r>
          </w:p>
        </w:tc>
        <w:tc>
          <w:tcPr>
            <w:tcW w:w="1860" w:type="dxa"/>
            <w:tcMar>
              <w:top w:w="0" w:type="dxa"/>
              <w:bottom w:w="0" w:type="dxa"/>
            </w:tcMar>
            <w:vAlign w:val="center"/>
          </w:tcPr>
          <w:p w14:paraId="43ABA2BC" w14:textId="77777777" w:rsidR="00422385" w:rsidRDefault="00000000" w:rsidP="00F20266">
            <w:pPr>
              <w:keepNext/>
              <w:keepLines/>
              <w:spacing w:after="0" w:line="240" w:lineRule="auto"/>
              <w:jc w:val="both"/>
            </w:pPr>
            <w:r>
              <w:rPr>
                <w:sz w:val="18"/>
              </w:rPr>
              <w:t>23.597,60</w:t>
            </w:r>
          </w:p>
        </w:tc>
        <w:tc>
          <w:tcPr>
            <w:tcW w:w="700" w:type="dxa"/>
            <w:tcMar>
              <w:top w:w="0" w:type="dxa"/>
              <w:bottom w:w="0" w:type="dxa"/>
            </w:tcMar>
            <w:vAlign w:val="center"/>
          </w:tcPr>
          <w:p w14:paraId="2A8EDC9E" w14:textId="77777777" w:rsidR="00422385" w:rsidRDefault="00000000" w:rsidP="00F20266">
            <w:pPr>
              <w:keepNext/>
              <w:keepLines/>
              <w:spacing w:after="0" w:line="240" w:lineRule="auto"/>
              <w:jc w:val="both"/>
            </w:pPr>
            <w:r>
              <w:rPr>
                <w:sz w:val="18"/>
              </w:rPr>
              <w:t>217,6</w:t>
            </w:r>
          </w:p>
        </w:tc>
      </w:tr>
    </w:tbl>
    <w:p w14:paraId="65ABEE7E" w14:textId="77777777" w:rsidR="00422385" w:rsidRDefault="00422385" w:rsidP="00F20266">
      <w:pPr>
        <w:spacing w:after="0"/>
        <w:jc w:val="both"/>
      </w:pPr>
    </w:p>
    <w:p w14:paraId="0FE93AC2" w14:textId="77777777" w:rsidR="00422385" w:rsidRDefault="00000000" w:rsidP="00F20266">
      <w:pPr>
        <w:jc w:val="both"/>
      </w:pPr>
      <w:r>
        <w:t>Obveze za naknade građanima i kućanstvima (šifra 237) na kraju izvještajnog razdoblja iznose 23.597,60 EUR odnosno 117,6 % više u odnosu na 2024. godinu.</w:t>
      </w:r>
    </w:p>
    <w:p w14:paraId="017FD5EF" w14:textId="77777777" w:rsidR="00422385" w:rsidRDefault="00000000" w:rsidP="00F20266">
      <w:pPr>
        <w:jc w:val="both"/>
      </w:pPr>
      <w:r>
        <w:t xml:space="preserve">Navedene obveze za naknade građanima i kućanstvima pretežno se odnose na obveze za isplatu stipendija, za sufinanciranje udžbenika učenika osnovnih i srednjih škola, obveze za socijalni program prema vrtiću, te za naknade za novorođenčad i Pomoć u kući na </w:t>
      </w:r>
      <w:proofErr w:type="spellStart"/>
      <w:r>
        <w:t>Puljštini</w:t>
      </w:r>
      <w:proofErr w:type="spellEnd"/>
      <w:r>
        <w:t xml:space="preserve"> za 12/2025. prema Crvenom križu.</w:t>
      </w:r>
    </w:p>
    <w:p w14:paraId="203EE0CE" w14:textId="77777777" w:rsidR="00422385" w:rsidRDefault="00422385" w:rsidP="00F20266">
      <w:pPr>
        <w:jc w:val="both"/>
      </w:pPr>
    </w:p>
    <w:p w14:paraId="27431468" w14:textId="77777777" w:rsidR="00422385" w:rsidRDefault="00000000" w:rsidP="00F20266">
      <w:pPr>
        <w:keepNext/>
        <w:spacing w:line="240" w:lineRule="auto"/>
        <w:jc w:val="both"/>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65B1E201" w14:textId="77777777">
        <w:trPr>
          <w:cantSplit/>
        </w:trPr>
        <w:tc>
          <w:tcPr>
            <w:tcW w:w="700" w:type="dxa"/>
            <w:shd w:val="clear" w:color="auto" w:fill="E7F0F9"/>
            <w:tcMar>
              <w:top w:w="0" w:type="dxa"/>
              <w:bottom w:w="0" w:type="dxa"/>
            </w:tcMar>
            <w:vAlign w:val="center"/>
          </w:tcPr>
          <w:p w14:paraId="5372A964"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D94E15"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B958199"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199C219" w14:textId="77777777" w:rsidR="00422385" w:rsidRDefault="00000000" w:rsidP="00F20266">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52B7E1B1" w14:textId="77777777" w:rsidR="00422385" w:rsidRDefault="00000000" w:rsidP="00F20266">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735A2E5F" w14:textId="77777777" w:rsidR="00422385" w:rsidRDefault="00000000" w:rsidP="00F20266">
            <w:pPr>
              <w:keepNext/>
              <w:keepLines/>
              <w:spacing w:after="0" w:line="240" w:lineRule="auto"/>
              <w:jc w:val="both"/>
            </w:pPr>
            <w:r>
              <w:rPr>
                <w:b/>
                <w:sz w:val="18"/>
              </w:rPr>
              <w:t>Indeks (%)</w:t>
            </w:r>
          </w:p>
        </w:tc>
      </w:tr>
      <w:tr w:rsidR="00422385" w14:paraId="70899C4D" w14:textId="77777777">
        <w:trPr>
          <w:cantSplit/>
          <w:trHeight w:val="560"/>
        </w:trPr>
        <w:tc>
          <w:tcPr>
            <w:tcW w:w="700" w:type="dxa"/>
            <w:tcMar>
              <w:top w:w="0" w:type="dxa"/>
              <w:bottom w:w="0" w:type="dxa"/>
            </w:tcMar>
            <w:vAlign w:val="center"/>
          </w:tcPr>
          <w:p w14:paraId="743824FD" w14:textId="77777777" w:rsidR="00422385" w:rsidRDefault="00000000" w:rsidP="00F20266">
            <w:pPr>
              <w:keepNext/>
              <w:keepLines/>
              <w:spacing w:after="0" w:line="240" w:lineRule="auto"/>
              <w:jc w:val="both"/>
            </w:pPr>
            <w:r>
              <w:rPr>
                <w:sz w:val="18"/>
              </w:rPr>
              <w:t>26</w:t>
            </w:r>
          </w:p>
        </w:tc>
        <w:tc>
          <w:tcPr>
            <w:tcW w:w="3180" w:type="dxa"/>
            <w:tcMar>
              <w:top w:w="0" w:type="dxa"/>
              <w:bottom w:w="0" w:type="dxa"/>
            </w:tcMar>
            <w:vAlign w:val="center"/>
          </w:tcPr>
          <w:p w14:paraId="28EFFBF1" w14:textId="77777777" w:rsidR="00422385" w:rsidRDefault="00000000" w:rsidP="00F20266">
            <w:pPr>
              <w:keepNext/>
              <w:keepLines/>
              <w:spacing w:after="0" w:line="240" w:lineRule="auto"/>
              <w:jc w:val="both"/>
            </w:pPr>
            <w:r>
              <w:rPr>
                <w:sz w:val="18"/>
              </w:rPr>
              <w:t>Obveze za kredite i zajmove (šifre 26X1+26X2)</w:t>
            </w:r>
          </w:p>
        </w:tc>
        <w:tc>
          <w:tcPr>
            <w:tcW w:w="700" w:type="dxa"/>
            <w:tcMar>
              <w:top w:w="0" w:type="dxa"/>
              <w:bottom w:w="0" w:type="dxa"/>
            </w:tcMar>
            <w:vAlign w:val="center"/>
          </w:tcPr>
          <w:p w14:paraId="19A1141C" w14:textId="77777777" w:rsidR="00422385" w:rsidRDefault="00000000" w:rsidP="00F20266">
            <w:pPr>
              <w:keepNext/>
              <w:keepLines/>
              <w:spacing w:after="0" w:line="240" w:lineRule="auto"/>
              <w:jc w:val="both"/>
            </w:pPr>
            <w:r>
              <w:rPr>
                <w:sz w:val="18"/>
              </w:rPr>
              <w:t>26</w:t>
            </w:r>
          </w:p>
        </w:tc>
        <w:tc>
          <w:tcPr>
            <w:tcW w:w="1860" w:type="dxa"/>
            <w:tcMar>
              <w:top w:w="0" w:type="dxa"/>
              <w:bottom w:w="0" w:type="dxa"/>
            </w:tcMar>
            <w:vAlign w:val="center"/>
          </w:tcPr>
          <w:p w14:paraId="538D3B8E" w14:textId="77777777" w:rsidR="00422385" w:rsidRDefault="00000000" w:rsidP="00F20266">
            <w:pPr>
              <w:keepNext/>
              <w:keepLines/>
              <w:spacing w:after="0" w:line="240" w:lineRule="auto"/>
              <w:jc w:val="both"/>
            </w:pPr>
            <w:r>
              <w:rPr>
                <w:sz w:val="18"/>
              </w:rPr>
              <w:t>681.832,25</w:t>
            </w:r>
          </w:p>
        </w:tc>
        <w:tc>
          <w:tcPr>
            <w:tcW w:w="1860" w:type="dxa"/>
            <w:tcMar>
              <w:top w:w="0" w:type="dxa"/>
              <w:bottom w:w="0" w:type="dxa"/>
            </w:tcMar>
            <w:vAlign w:val="center"/>
          </w:tcPr>
          <w:p w14:paraId="6C329811" w14:textId="77777777" w:rsidR="00422385" w:rsidRDefault="00000000" w:rsidP="00F20266">
            <w:pPr>
              <w:keepNext/>
              <w:keepLines/>
              <w:spacing w:after="0" w:line="240" w:lineRule="auto"/>
              <w:jc w:val="both"/>
            </w:pPr>
            <w:r>
              <w:rPr>
                <w:sz w:val="18"/>
              </w:rPr>
              <w:t>1.051.350,88</w:t>
            </w:r>
          </w:p>
        </w:tc>
        <w:tc>
          <w:tcPr>
            <w:tcW w:w="700" w:type="dxa"/>
            <w:tcMar>
              <w:top w:w="0" w:type="dxa"/>
              <w:bottom w:w="0" w:type="dxa"/>
            </w:tcMar>
            <w:vAlign w:val="center"/>
          </w:tcPr>
          <w:p w14:paraId="6C00AA13" w14:textId="77777777" w:rsidR="00422385" w:rsidRDefault="00000000" w:rsidP="00F20266">
            <w:pPr>
              <w:keepNext/>
              <w:keepLines/>
              <w:spacing w:after="0" w:line="240" w:lineRule="auto"/>
              <w:jc w:val="both"/>
            </w:pPr>
            <w:r>
              <w:rPr>
                <w:sz w:val="18"/>
              </w:rPr>
              <w:t>154,2</w:t>
            </w:r>
          </w:p>
        </w:tc>
      </w:tr>
    </w:tbl>
    <w:p w14:paraId="6A3E2A7C" w14:textId="77777777" w:rsidR="00422385" w:rsidRDefault="00422385" w:rsidP="00F20266">
      <w:pPr>
        <w:spacing w:after="0"/>
        <w:jc w:val="both"/>
      </w:pPr>
    </w:p>
    <w:p w14:paraId="6DF0C244" w14:textId="77777777" w:rsidR="00422385" w:rsidRDefault="00000000" w:rsidP="00F20266">
      <w:pPr>
        <w:jc w:val="both"/>
      </w:pPr>
      <w:r>
        <w:t>Obveze za kredite i zajmove (šifre 26X1+26X2) na kraju izvještajnog razdoblja iznose 1.051.350,88 EUR odnosno 54,2% više u odnosu na prethodnu izvještajnu godinu kad su iznosila 681.832,25 EUR.</w:t>
      </w:r>
    </w:p>
    <w:p w14:paraId="4859A822" w14:textId="77777777" w:rsidR="00422385" w:rsidRDefault="00000000" w:rsidP="00F20266">
      <w:pPr>
        <w:jc w:val="both"/>
      </w:pPr>
      <w:r>
        <w:t>Općina Fažana je tijekom listopada 2025. godine potpisala Ugovor o dugoročnom kreditu sa poslovnom bankom IKB Umag d.d. i realizirala sredstva u iznosu od 522.930,92 EUR, uz prethodnu suglasnost Vlade RH za zaduživanje. Ugovorna obveza je na 15 godina uz 2 godine počeka.</w:t>
      </w:r>
    </w:p>
    <w:p w14:paraId="3293FCE4" w14:textId="77777777" w:rsidR="00422385" w:rsidRDefault="00000000" w:rsidP="00F20266">
      <w:pPr>
        <w:jc w:val="both"/>
      </w:pPr>
      <w:r>
        <w:t xml:space="preserve">Navedeno zaduženje za kredit je u svrhu financiranja izgradnje I. faze prometnice San </w:t>
      </w:r>
      <w:proofErr w:type="spellStart"/>
      <w:r>
        <w:t>Pellegrino</w:t>
      </w:r>
      <w:proofErr w:type="spellEnd"/>
      <w:r>
        <w:t xml:space="preserve"> i izgradnju II. faze Nogometnog centra u Fažani.</w:t>
      </w:r>
      <w:r>
        <w:br/>
        <w:t> </w:t>
      </w:r>
      <w:r>
        <w:br/>
        <w:t> </w:t>
      </w:r>
    </w:p>
    <w:p w14:paraId="725976D0" w14:textId="77777777" w:rsidR="00422385" w:rsidRDefault="00422385" w:rsidP="00F20266">
      <w:pPr>
        <w:jc w:val="both"/>
      </w:pPr>
    </w:p>
    <w:p w14:paraId="6D300E68" w14:textId="77777777" w:rsidR="00422385" w:rsidRDefault="00000000" w:rsidP="00F20266">
      <w:pPr>
        <w:keepNext/>
        <w:spacing w:line="240" w:lineRule="auto"/>
        <w:jc w:val="both"/>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4771C4AB" w14:textId="77777777">
        <w:trPr>
          <w:cantSplit/>
        </w:trPr>
        <w:tc>
          <w:tcPr>
            <w:tcW w:w="700" w:type="dxa"/>
            <w:shd w:val="clear" w:color="auto" w:fill="E7F0F9"/>
            <w:tcMar>
              <w:top w:w="0" w:type="dxa"/>
              <w:bottom w:w="0" w:type="dxa"/>
            </w:tcMar>
            <w:vAlign w:val="center"/>
          </w:tcPr>
          <w:p w14:paraId="67A5ADEE"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0E70EE"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70F42C2"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F8106B0" w14:textId="77777777" w:rsidR="00422385" w:rsidRDefault="00000000" w:rsidP="00F20266">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33EA4B4E" w14:textId="77777777" w:rsidR="00422385" w:rsidRDefault="00000000" w:rsidP="00F20266">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3E57C01C" w14:textId="77777777" w:rsidR="00422385" w:rsidRDefault="00000000" w:rsidP="00F20266">
            <w:pPr>
              <w:keepNext/>
              <w:keepLines/>
              <w:spacing w:after="0" w:line="240" w:lineRule="auto"/>
              <w:jc w:val="both"/>
            </w:pPr>
            <w:r>
              <w:rPr>
                <w:b/>
                <w:sz w:val="18"/>
              </w:rPr>
              <w:t>Indeks (%)</w:t>
            </w:r>
          </w:p>
        </w:tc>
      </w:tr>
      <w:tr w:rsidR="00422385" w14:paraId="016DA388" w14:textId="77777777">
        <w:trPr>
          <w:cantSplit/>
          <w:trHeight w:val="560"/>
        </w:trPr>
        <w:tc>
          <w:tcPr>
            <w:tcW w:w="700" w:type="dxa"/>
            <w:tcMar>
              <w:top w:w="0" w:type="dxa"/>
              <w:bottom w:w="0" w:type="dxa"/>
            </w:tcMar>
            <w:vAlign w:val="center"/>
          </w:tcPr>
          <w:p w14:paraId="7292AD6F" w14:textId="77777777" w:rsidR="00422385" w:rsidRDefault="00000000" w:rsidP="00F20266">
            <w:pPr>
              <w:keepNext/>
              <w:keepLines/>
              <w:spacing w:after="0" w:line="240" w:lineRule="auto"/>
              <w:jc w:val="both"/>
            </w:pPr>
            <w:r>
              <w:rPr>
                <w:sz w:val="18"/>
              </w:rPr>
              <w:t>29</w:t>
            </w:r>
          </w:p>
        </w:tc>
        <w:tc>
          <w:tcPr>
            <w:tcW w:w="3180" w:type="dxa"/>
            <w:tcMar>
              <w:top w:w="0" w:type="dxa"/>
              <w:bottom w:w="0" w:type="dxa"/>
            </w:tcMar>
            <w:vAlign w:val="center"/>
          </w:tcPr>
          <w:p w14:paraId="001468F3" w14:textId="77777777" w:rsidR="00422385" w:rsidRDefault="00000000" w:rsidP="00F20266">
            <w:pPr>
              <w:keepNext/>
              <w:keepLines/>
              <w:spacing w:after="0" w:line="240" w:lineRule="auto"/>
              <w:jc w:val="both"/>
            </w:pPr>
            <w:r>
              <w:rPr>
                <w:sz w:val="18"/>
              </w:rPr>
              <w:t>Odgođeno plaćanje rashoda i prihodi budućih razdoblja (pasivna vremenska razgraničenja) (šifre 291+292)</w:t>
            </w:r>
          </w:p>
        </w:tc>
        <w:tc>
          <w:tcPr>
            <w:tcW w:w="700" w:type="dxa"/>
            <w:tcMar>
              <w:top w:w="0" w:type="dxa"/>
              <w:bottom w:w="0" w:type="dxa"/>
            </w:tcMar>
            <w:vAlign w:val="center"/>
          </w:tcPr>
          <w:p w14:paraId="2A0ADBDD" w14:textId="77777777" w:rsidR="00422385" w:rsidRDefault="00000000" w:rsidP="00F20266">
            <w:pPr>
              <w:keepNext/>
              <w:keepLines/>
              <w:spacing w:after="0" w:line="240" w:lineRule="auto"/>
              <w:jc w:val="both"/>
            </w:pPr>
            <w:r>
              <w:rPr>
                <w:sz w:val="18"/>
              </w:rPr>
              <w:t>29</w:t>
            </w:r>
          </w:p>
        </w:tc>
        <w:tc>
          <w:tcPr>
            <w:tcW w:w="1860" w:type="dxa"/>
            <w:tcMar>
              <w:top w:w="0" w:type="dxa"/>
              <w:bottom w:w="0" w:type="dxa"/>
            </w:tcMar>
            <w:vAlign w:val="center"/>
          </w:tcPr>
          <w:p w14:paraId="7DA17FDB" w14:textId="77777777" w:rsidR="00422385" w:rsidRDefault="00000000" w:rsidP="00F20266">
            <w:pPr>
              <w:keepNext/>
              <w:keepLines/>
              <w:spacing w:after="0" w:line="240" w:lineRule="auto"/>
              <w:jc w:val="both"/>
            </w:pPr>
            <w:r>
              <w:rPr>
                <w:sz w:val="18"/>
              </w:rPr>
              <w:t>10.547,55</w:t>
            </w:r>
          </w:p>
        </w:tc>
        <w:tc>
          <w:tcPr>
            <w:tcW w:w="1860" w:type="dxa"/>
            <w:tcMar>
              <w:top w:w="0" w:type="dxa"/>
              <w:bottom w:w="0" w:type="dxa"/>
            </w:tcMar>
            <w:vAlign w:val="center"/>
          </w:tcPr>
          <w:p w14:paraId="37B2E27B" w14:textId="77777777" w:rsidR="00422385" w:rsidRDefault="00000000" w:rsidP="00F20266">
            <w:pPr>
              <w:keepNext/>
              <w:keepLines/>
              <w:spacing w:after="0" w:line="240" w:lineRule="auto"/>
              <w:jc w:val="both"/>
            </w:pPr>
            <w:r>
              <w:rPr>
                <w:sz w:val="18"/>
              </w:rPr>
              <w:t>35.566,29</w:t>
            </w:r>
          </w:p>
        </w:tc>
        <w:tc>
          <w:tcPr>
            <w:tcW w:w="700" w:type="dxa"/>
            <w:tcMar>
              <w:top w:w="0" w:type="dxa"/>
              <w:bottom w:w="0" w:type="dxa"/>
            </w:tcMar>
            <w:vAlign w:val="center"/>
          </w:tcPr>
          <w:p w14:paraId="64A74E24" w14:textId="77777777" w:rsidR="00422385" w:rsidRDefault="00000000" w:rsidP="00F20266">
            <w:pPr>
              <w:keepNext/>
              <w:keepLines/>
              <w:spacing w:after="0" w:line="240" w:lineRule="auto"/>
              <w:jc w:val="both"/>
            </w:pPr>
            <w:r>
              <w:rPr>
                <w:sz w:val="18"/>
              </w:rPr>
              <w:t>337,2</w:t>
            </w:r>
          </w:p>
        </w:tc>
      </w:tr>
    </w:tbl>
    <w:p w14:paraId="662753D3" w14:textId="77777777" w:rsidR="00422385" w:rsidRDefault="00422385" w:rsidP="00F20266">
      <w:pPr>
        <w:spacing w:after="0"/>
        <w:jc w:val="both"/>
      </w:pPr>
    </w:p>
    <w:p w14:paraId="0DC7A112" w14:textId="77777777" w:rsidR="00422385" w:rsidRDefault="00000000" w:rsidP="00F20266">
      <w:pPr>
        <w:jc w:val="both"/>
      </w:pPr>
      <w:r>
        <w:t>Odgođeno plaćanje rashoda i prihodi budućih razdoblja (pasivna vremenska razgraničenja) (šifre 291+292) na kraju izvještajnog razdoblja iznose 35.566,29 EUR odnosno 237,2% više u odnosu na 2024. godinu.</w:t>
      </w:r>
    </w:p>
    <w:p w14:paraId="3E7ADF32" w14:textId="77777777" w:rsidR="00422385" w:rsidRDefault="00000000" w:rsidP="00F20266">
      <w:pPr>
        <w:jc w:val="both"/>
      </w:pPr>
      <w:r>
        <w:t>U navedene obveze za odgođena plaćanja rashoda (šifra 291) u iznosu od 12.177,04 EUR obuhvaćene su obveze prema Istarskoj županiji za produženi boravak djece u Osnovnoj školi Fažana i obveze za kredit za rekonstrukciju bolnice M. Horvat u Rovinju, te obveze prema Gradu Puli za sredstva za decentralizirane funkcije.</w:t>
      </w:r>
    </w:p>
    <w:p w14:paraId="0AD148B9" w14:textId="776DF403" w:rsidR="00422385" w:rsidRDefault="00000000" w:rsidP="00F20266">
      <w:pPr>
        <w:jc w:val="both"/>
      </w:pPr>
      <w:r>
        <w:t>Dok, pod obveze za naplaćene prihode budućih razdoblja (šifra 292) u iznosu od 23.389,25 EUR obuhvaćeni su predujmovi za zakupe poljoprivrednih zemljišta, komunalnih naknada i zakupa poslov</w:t>
      </w:r>
      <w:r w:rsidR="00153826">
        <w:t>n</w:t>
      </w:r>
      <w:r>
        <w:t>ih prostora za koja nema još zaduženja.</w:t>
      </w:r>
    </w:p>
    <w:p w14:paraId="19DFA698" w14:textId="77777777" w:rsidR="00422385" w:rsidRDefault="00000000" w:rsidP="00F20266">
      <w:pPr>
        <w:jc w:val="both"/>
      </w:pPr>
      <w:r>
        <w:t> </w:t>
      </w:r>
    </w:p>
    <w:p w14:paraId="3406D057" w14:textId="77777777" w:rsidR="00422385" w:rsidRDefault="00422385" w:rsidP="00F20266">
      <w:pPr>
        <w:jc w:val="both"/>
      </w:pPr>
    </w:p>
    <w:p w14:paraId="04735926" w14:textId="77777777" w:rsidR="00422385" w:rsidRDefault="00000000" w:rsidP="00F20266">
      <w:pPr>
        <w:keepNext/>
        <w:spacing w:line="240" w:lineRule="auto"/>
        <w:jc w:val="both"/>
      </w:pPr>
      <w:r>
        <w:rPr>
          <w:sz w:val="28"/>
        </w:rPr>
        <w:lastRenderedPageBreak/>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688D9B9E" w14:textId="77777777">
        <w:trPr>
          <w:cantSplit/>
        </w:trPr>
        <w:tc>
          <w:tcPr>
            <w:tcW w:w="700" w:type="dxa"/>
            <w:shd w:val="clear" w:color="auto" w:fill="E7F0F9"/>
            <w:tcMar>
              <w:top w:w="0" w:type="dxa"/>
              <w:bottom w:w="0" w:type="dxa"/>
            </w:tcMar>
            <w:vAlign w:val="center"/>
          </w:tcPr>
          <w:p w14:paraId="582FBB7A"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382BC2"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7F395A9"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6C1223F" w14:textId="77777777" w:rsidR="00422385" w:rsidRDefault="00000000" w:rsidP="00F20266">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6A4BD161" w14:textId="77777777" w:rsidR="00422385" w:rsidRDefault="00000000" w:rsidP="00F20266">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79AC783C" w14:textId="77777777" w:rsidR="00422385" w:rsidRDefault="00000000" w:rsidP="00F20266">
            <w:pPr>
              <w:keepNext/>
              <w:keepLines/>
              <w:spacing w:after="0" w:line="240" w:lineRule="auto"/>
              <w:jc w:val="both"/>
            </w:pPr>
            <w:r>
              <w:rPr>
                <w:b/>
                <w:sz w:val="18"/>
              </w:rPr>
              <w:t>Indeks (%)</w:t>
            </w:r>
          </w:p>
        </w:tc>
      </w:tr>
      <w:tr w:rsidR="00422385" w14:paraId="1298A4F3" w14:textId="77777777">
        <w:trPr>
          <w:cantSplit/>
          <w:trHeight w:val="560"/>
        </w:trPr>
        <w:tc>
          <w:tcPr>
            <w:tcW w:w="700" w:type="dxa"/>
            <w:tcMar>
              <w:top w:w="0" w:type="dxa"/>
              <w:bottom w:w="0" w:type="dxa"/>
            </w:tcMar>
            <w:vAlign w:val="center"/>
          </w:tcPr>
          <w:p w14:paraId="1B97E620" w14:textId="77777777" w:rsidR="00422385" w:rsidRDefault="00000000" w:rsidP="00F20266">
            <w:pPr>
              <w:keepNext/>
              <w:keepLines/>
              <w:spacing w:after="0" w:line="240" w:lineRule="auto"/>
              <w:jc w:val="both"/>
            </w:pPr>
            <w:r>
              <w:rPr>
                <w:sz w:val="18"/>
              </w:rPr>
              <w:t>9</w:t>
            </w:r>
          </w:p>
        </w:tc>
        <w:tc>
          <w:tcPr>
            <w:tcW w:w="3180" w:type="dxa"/>
            <w:tcMar>
              <w:top w:w="0" w:type="dxa"/>
              <w:bottom w:w="0" w:type="dxa"/>
            </w:tcMar>
            <w:vAlign w:val="center"/>
          </w:tcPr>
          <w:p w14:paraId="2D64186B" w14:textId="77777777" w:rsidR="00422385" w:rsidRDefault="00000000" w:rsidP="00F20266">
            <w:pPr>
              <w:keepNext/>
              <w:keepLines/>
              <w:spacing w:after="0" w:line="240" w:lineRule="auto"/>
              <w:jc w:val="both"/>
            </w:pPr>
            <w:r>
              <w:rPr>
                <w:sz w:val="18"/>
              </w:rPr>
              <w:t>Vlastiti izvori (šifre 91 + 922 - 93 + 96 + 97)</w:t>
            </w:r>
          </w:p>
        </w:tc>
        <w:tc>
          <w:tcPr>
            <w:tcW w:w="700" w:type="dxa"/>
            <w:tcMar>
              <w:top w:w="0" w:type="dxa"/>
              <w:bottom w:w="0" w:type="dxa"/>
            </w:tcMar>
            <w:vAlign w:val="center"/>
          </w:tcPr>
          <w:p w14:paraId="74097C96" w14:textId="77777777" w:rsidR="00422385" w:rsidRDefault="00000000" w:rsidP="00F20266">
            <w:pPr>
              <w:keepNext/>
              <w:keepLines/>
              <w:spacing w:after="0" w:line="240" w:lineRule="auto"/>
              <w:jc w:val="both"/>
            </w:pPr>
            <w:r>
              <w:rPr>
                <w:sz w:val="18"/>
              </w:rPr>
              <w:t>9</w:t>
            </w:r>
          </w:p>
        </w:tc>
        <w:tc>
          <w:tcPr>
            <w:tcW w:w="1860" w:type="dxa"/>
            <w:tcMar>
              <w:top w:w="0" w:type="dxa"/>
              <w:bottom w:w="0" w:type="dxa"/>
            </w:tcMar>
            <w:vAlign w:val="center"/>
          </w:tcPr>
          <w:p w14:paraId="2AFD7DC8" w14:textId="77777777" w:rsidR="00422385" w:rsidRDefault="00000000" w:rsidP="00F20266">
            <w:pPr>
              <w:keepNext/>
              <w:keepLines/>
              <w:spacing w:after="0" w:line="240" w:lineRule="auto"/>
              <w:jc w:val="both"/>
            </w:pPr>
            <w:r>
              <w:rPr>
                <w:sz w:val="18"/>
              </w:rPr>
              <w:t>24.249.881,81</w:t>
            </w:r>
          </w:p>
        </w:tc>
        <w:tc>
          <w:tcPr>
            <w:tcW w:w="1860" w:type="dxa"/>
            <w:tcMar>
              <w:top w:w="0" w:type="dxa"/>
              <w:bottom w:w="0" w:type="dxa"/>
            </w:tcMar>
            <w:vAlign w:val="center"/>
          </w:tcPr>
          <w:p w14:paraId="59CF1BB9" w14:textId="77777777" w:rsidR="00422385" w:rsidRDefault="00000000" w:rsidP="00F20266">
            <w:pPr>
              <w:keepNext/>
              <w:keepLines/>
              <w:spacing w:after="0" w:line="240" w:lineRule="auto"/>
              <w:jc w:val="both"/>
            </w:pPr>
            <w:r>
              <w:rPr>
                <w:sz w:val="18"/>
              </w:rPr>
              <w:t>37.473.848,15</w:t>
            </w:r>
          </w:p>
        </w:tc>
        <w:tc>
          <w:tcPr>
            <w:tcW w:w="700" w:type="dxa"/>
            <w:tcMar>
              <w:top w:w="0" w:type="dxa"/>
              <w:bottom w:w="0" w:type="dxa"/>
            </w:tcMar>
            <w:vAlign w:val="center"/>
          </w:tcPr>
          <w:p w14:paraId="79677FA4" w14:textId="77777777" w:rsidR="00422385" w:rsidRDefault="00000000" w:rsidP="00F20266">
            <w:pPr>
              <w:keepNext/>
              <w:keepLines/>
              <w:spacing w:after="0" w:line="240" w:lineRule="auto"/>
              <w:jc w:val="both"/>
            </w:pPr>
            <w:r>
              <w:rPr>
                <w:sz w:val="18"/>
              </w:rPr>
              <w:t>154,5</w:t>
            </w:r>
          </w:p>
        </w:tc>
      </w:tr>
    </w:tbl>
    <w:p w14:paraId="04FCC730" w14:textId="77777777" w:rsidR="00422385" w:rsidRDefault="00422385" w:rsidP="00F20266">
      <w:pPr>
        <w:spacing w:after="0"/>
        <w:jc w:val="both"/>
      </w:pPr>
    </w:p>
    <w:p w14:paraId="707225CC" w14:textId="77777777" w:rsidR="00422385" w:rsidRDefault="00000000" w:rsidP="00F20266">
      <w:pPr>
        <w:jc w:val="both"/>
      </w:pPr>
      <w:r>
        <w:t>Vlastiti izvori (šifre 91+922- 93+96+ 97) šifra 9 na kraju izvještajnog razdoblja iznose 37.473.848,15 EUR što čini 54,5% više u odnosu na prethodnu godinu 2024. kad su vlastiti izvori iznosili 24.249.881,81 EUR.</w:t>
      </w:r>
    </w:p>
    <w:p w14:paraId="6620E723" w14:textId="77777777" w:rsidR="00422385" w:rsidRDefault="00000000" w:rsidP="00F20266">
      <w:pPr>
        <w:jc w:val="both"/>
      </w:pPr>
      <w:r>
        <w:t>Od navedenog povećanja najznačajnije povećanje se odnosi na šifru vlastitih izvora pod 91 koji su na kraju izvještajnog razdoblja iznosili 33.502.1786,37 EUR, sa povećanjem od 65,3% u odnosu na 2024. godinu.</w:t>
      </w:r>
    </w:p>
    <w:p w14:paraId="17501670" w14:textId="77777777" w:rsidR="00422385" w:rsidRDefault="00000000" w:rsidP="00F20266">
      <w:pPr>
        <w:jc w:val="both"/>
      </w:pPr>
      <w:r>
        <w:br/>
        <w:t> </w:t>
      </w:r>
    </w:p>
    <w:p w14:paraId="76798FAA" w14:textId="77777777" w:rsidR="00422385" w:rsidRDefault="00422385" w:rsidP="00F20266">
      <w:pPr>
        <w:jc w:val="both"/>
      </w:pPr>
    </w:p>
    <w:p w14:paraId="308969D0" w14:textId="77777777" w:rsidR="00422385" w:rsidRDefault="00000000" w:rsidP="00F20266">
      <w:pPr>
        <w:keepNext/>
        <w:spacing w:line="240" w:lineRule="auto"/>
        <w:jc w:val="both"/>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495868F8" w14:textId="77777777">
        <w:trPr>
          <w:cantSplit/>
        </w:trPr>
        <w:tc>
          <w:tcPr>
            <w:tcW w:w="700" w:type="dxa"/>
            <w:shd w:val="clear" w:color="auto" w:fill="E7F0F9"/>
            <w:tcMar>
              <w:top w:w="0" w:type="dxa"/>
              <w:bottom w:w="0" w:type="dxa"/>
            </w:tcMar>
            <w:vAlign w:val="center"/>
          </w:tcPr>
          <w:p w14:paraId="22AD308C"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2C387C"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07FCDC7"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206383E" w14:textId="77777777" w:rsidR="00422385" w:rsidRDefault="00000000" w:rsidP="00F20266">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63A85A0B" w14:textId="77777777" w:rsidR="00422385" w:rsidRDefault="00000000" w:rsidP="00F20266">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4C9348B0" w14:textId="77777777" w:rsidR="00422385" w:rsidRDefault="00000000" w:rsidP="00F20266">
            <w:pPr>
              <w:keepNext/>
              <w:keepLines/>
              <w:spacing w:after="0" w:line="240" w:lineRule="auto"/>
              <w:jc w:val="both"/>
            </w:pPr>
            <w:r>
              <w:rPr>
                <w:b/>
                <w:sz w:val="18"/>
              </w:rPr>
              <w:t>Indeks (%)</w:t>
            </w:r>
          </w:p>
        </w:tc>
      </w:tr>
      <w:tr w:rsidR="00422385" w14:paraId="7B03DE3C" w14:textId="77777777">
        <w:trPr>
          <w:cantSplit/>
          <w:trHeight w:val="560"/>
        </w:trPr>
        <w:tc>
          <w:tcPr>
            <w:tcW w:w="700" w:type="dxa"/>
            <w:tcMar>
              <w:top w:w="0" w:type="dxa"/>
              <w:bottom w:w="0" w:type="dxa"/>
            </w:tcMar>
            <w:vAlign w:val="center"/>
          </w:tcPr>
          <w:p w14:paraId="5FBFD48C" w14:textId="77777777" w:rsidR="00422385" w:rsidRDefault="00000000" w:rsidP="00F20266">
            <w:pPr>
              <w:keepNext/>
              <w:keepLines/>
              <w:spacing w:after="0" w:line="240" w:lineRule="auto"/>
              <w:jc w:val="both"/>
            </w:pPr>
            <w:r>
              <w:rPr>
                <w:sz w:val="18"/>
              </w:rPr>
              <w:t>91</w:t>
            </w:r>
          </w:p>
        </w:tc>
        <w:tc>
          <w:tcPr>
            <w:tcW w:w="3180" w:type="dxa"/>
            <w:tcMar>
              <w:top w:w="0" w:type="dxa"/>
              <w:bottom w:w="0" w:type="dxa"/>
            </w:tcMar>
            <w:vAlign w:val="center"/>
          </w:tcPr>
          <w:p w14:paraId="5D49F29F" w14:textId="77777777" w:rsidR="00422385" w:rsidRDefault="00000000" w:rsidP="00F20266">
            <w:pPr>
              <w:keepNext/>
              <w:keepLines/>
              <w:spacing w:after="0" w:line="240" w:lineRule="auto"/>
              <w:jc w:val="both"/>
            </w:pPr>
            <w:r>
              <w:rPr>
                <w:sz w:val="18"/>
              </w:rPr>
              <w:t>Vlastiti izvori i ispravak vlastitih izvora (šifre 911-912)</w:t>
            </w:r>
          </w:p>
        </w:tc>
        <w:tc>
          <w:tcPr>
            <w:tcW w:w="700" w:type="dxa"/>
            <w:tcMar>
              <w:top w:w="0" w:type="dxa"/>
              <w:bottom w:w="0" w:type="dxa"/>
            </w:tcMar>
            <w:vAlign w:val="center"/>
          </w:tcPr>
          <w:p w14:paraId="78EDAFF3" w14:textId="77777777" w:rsidR="00422385" w:rsidRDefault="00000000" w:rsidP="00F20266">
            <w:pPr>
              <w:keepNext/>
              <w:keepLines/>
              <w:spacing w:after="0" w:line="240" w:lineRule="auto"/>
              <w:jc w:val="both"/>
            </w:pPr>
            <w:r>
              <w:rPr>
                <w:sz w:val="18"/>
              </w:rPr>
              <w:t>91</w:t>
            </w:r>
          </w:p>
        </w:tc>
        <w:tc>
          <w:tcPr>
            <w:tcW w:w="1860" w:type="dxa"/>
            <w:tcMar>
              <w:top w:w="0" w:type="dxa"/>
              <w:bottom w:w="0" w:type="dxa"/>
            </w:tcMar>
            <w:vAlign w:val="center"/>
          </w:tcPr>
          <w:p w14:paraId="5183F696" w14:textId="77777777" w:rsidR="00422385" w:rsidRDefault="00000000" w:rsidP="00F20266">
            <w:pPr>
              <w:keepNext/>
              <w:keepLines/>
              <w:spacing w:after="0" w:line="240" w:lineRule="auto"/>
              <w:jc w:val="both"/>
            </w:pPr>
            <w:r>
              <w:rPr>
                <w:sz w:val="18"/>
              </w:rPr>
              <w:t>20.272.104,60</w:t>
            </w:r>
          </w:p>
        </w:tc>
        <w:tc>
          <w:tcPr>
            <w:tcW w:w="1860" w:type="dxa"/>
            <w:tcMar>
              <w:top w:w="0" w:type="dxa"/>
              <w:bottom w:w="0" w:type="dxa"/>
            </w:tcMar>
            <w:vAlign w:val="center"/>
          </w:tcPr>
          <w:p w14:paraId="4E97B554" w14:textId="77777777" w:rsidR="00422385" w:rsidRDefault="00000000" w:rsidP="00F20266">
            <w:pPr>
              <w:keepNext/>
              <w:keepLines/>
              <w:spacing w:after="0" w:line="240" w:lineRule="auto"/>
              <w:jc w:val="both"/>
            </w:pPr>
            <w:r>
              <w:rPr>
                <w:sz w:val="18"/>
              </w:rPr>
              <w:t>33.502.186,37</w:t>
            </w:r>
          </w:p>
        </w:tc>
        <w:tc>
          <w:tcPr>
            <w:tcW w:w="700" w:type="dxa"/>
            <w:tcMar>
              <w:top w:w="0" w:type="dxa"/>
              <w:bottom w:w="0" w:type="dxa"/>
            </w:tcMar>
            <w:vAlign w:val="center"/>
          </w:tcPr>
          <w:p w14:paraId="2D143361" w14:textId="77777777" w:rsidR="00422385" w:rsidRDefault="00000000" w:rsidP="00F20266">
            <w:pPr>
              <w:keepNext/>
              <w:keepLines/>
              <w:spacing w:after="0" w:line="240" w:lineRule="auto"/>
              <w:jc w:val="both"/>
            </w:pPr>
            <w:r>
              <w:rPr>
                <w:sz w:val="18"/>
              </w:rPr>
              <w:t>165,3</w:t>
            </w:r>
          </w:p>
        </w:tc>
      </w:tr>
    </w:tbl>
    <w:p w14:paraId="5E71A75F" w14:textId="77777777" w:rsidR="00422385" w:rsidRDefault="00422385" w:rsidP="00F20266">
      <w:pPr>
        <w:spacing w:after="0"/>
        <w:jc w:val="both"/>
      </w:pPr>
    </w:p>
    <w:p w14:paraId="492EBFDA" w14:textId="77777777" w:rsidR="00422385" w:rsidRDefault="00000000" w:rsidP="00F20266">
      <w:pPr>
        <w:jc w:val="both"/>
      </w:pPr>
      <w:r>
        <w:t>Vlastiti izvori i ispravak vlastitih izvora (šifre 911-912) šifra 91 na kraju izvještajnog razdoblja iznose 33.502.186,37 EUR sa povećanjem za 65,3% u odnosu na 2024. godinu.</w:t>
      </w:r>
    </w:p>
    <w:p w14:paraId="2182EDF5" w14:textId="77777777" w:rsidR="00422385" w:rsidRDefault="00000000" w:rsidP="00F20266">
      <w:pPr>
        <w:jc w:val="both"/>
      </w:pPr>
      <w:r>
        <w:t>Pod vlastitim izvorima obuhvaćene slijedeće proknjižene stavke u najznačajnijim iznosima :</w:t>
      </w:r>
    </w:p>
    <w:p w14:paraId="36EF88BA" w14:textId="77777777" w:rsidR="00422385" w:rsidRDefault="00000000" w:rsidP="00F20266">
      <w:pPr>
        <w:pStyle w:val="Odlomakpopisa"/>
        <w:numPr>
          <w:ilvl w:val="0"/>
          <w:numId w:val="1"/>
        </w:numPr>
        <w:jc w:val="both"/>
      </w:pPr>
      <w:r>
        <w:t>procjene građevinskih zemljišta u ukupnom iznosu od 11.511.374,40 EUR (ranije pojašnjeno)</w:t>
      </w:r>
    </w:p>
    <w:p w14:paraId="1E5D0E4E" w14:textId="77777777" w:rsidR="00422385" w:rsidRDefault="00000000" w:rsidP="00F20266">
      <w:pPr>
        <w:pStyle w:val="Odlomakpopisa"/>
        <w:numPr>
          <w:ilvl w:val="0"/>
          <w:numId w:val="1"/>
        </w:numPr>
        <w:jc w:val="both"/>
      </w:pPr>
      <w:r>
        <w:t xml:space="preserve">dugoročni kredit u iznosu od 522.930,92 EUR i </w:t>
      </w:r>
      <w:proofErr w:type="spellStart"/>
      <w:r>
        <w:t>isknjiženje</w:t>
      </w:r>
      <w:proofErr w:type="spellEnd"/>
      <w:r>
        <w:t xml:space="preserve"> otplaćenih rata u iznosu od 153.412,29 EUR</w:t>
      </w:r>
    </w:p>
    <w:p w14:paraId="72FA8BCB" w14:textId="77777777" w:rsidR="00422385" w:rsidRDefault="00000000" w:rsidP="00F20266">
      <w:pPr>
        <w:pStyle w:val="Odlomakpopisa"/>
        <w:numPr>
          <w:ilvl w:val="0"/>
          <w:numId w:val="1"/>
        </w:numPr>
        <w:jc w:val="both"/>
      </w:pPr>
      <w:r>
        <w:t>ispravci vrijednosti imovine u iznosu od 1.100.899,70 EUR</w:t>
      </w:r>
    </w:p>
    <w:p w14:paraId="10D1D333" w14:textId="77777777" w:rsidR="00422385" w:rsidRDefault="00000000" w:rsidP="00F20266">
      <w:pPr>
        <w:pStyle w:val="Odlomakpopisa"/>
        <w:numPr>
          <w:ilvl w:val="0"/>
          <w:numId w:val="1"/>
        </w:numPr>
        <w:jc w:val="both"/>
      </w:pPr>
      <w:r>
        <w:t>prodaja zemljišta u ukupnom iznosu od 776.000,00 EUR.</w:t>
      </w:r>
    </w:p>
    <w:p w14:paraId="5CA00718" w14:textId="77777777" w:rsidR="00422385" w:rsidRDefault="00000000" w:rsidP="00F20266">
      <w:pPr>
        <w:jc w:val="both"/>
      </w:pPr>
      <w:r>
        <w:t> </w:t>
      </w:r>
    </w:p>
    <w:p w14:paraId="023D0D12" w14:textId="77777777" w:rsidR="00422385" w:rsidRDefault="00422385" w:rsidP="00F20266">
      <w:pPr>
        <w:jc w:val="both"/>
      </w:pPr>
    </w:p>
    <w:p w14:paraId="7B2B2DD9" w14:textId="77777777" w:rsidR="00422385" w:rsidRDefault="00000000" w:rsidP="00F20266">
      <w:pPr>
        <w:keepNext/>
        <w:spacing w:line="240" w:lineRule="auto"/>
        <w:jc w:val="both"/>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123432B2" w14:textId="77777777">
        <w:trPr>
          <w:cantSplit/>
        </w:trPr>
        <w:tc>
          <w:tcPr>
            <w:tcW w:w="700" w:type="dxa"/>
            <w:shd w:val="clear" w:color="auto" w:fill="E7F0F9"/>
            <w:tcMar>
              <w:top w:w="0" w:type="dxa"/>
              <w:bottom w:w="0" w:type="dxa"/>
            </w:tcMar>
            <w:vAlign w:val="center"/>
          </w:tcPr>
          <w:p w14:paraId="428AD485"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07D871"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F0756FE"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7A1365A" w14:textId="77777777" w:rsidR="00422385" w:rsidRDefault="00000000" w:rsidP="00F20266">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1EAED9A3" w14:textId="77777777" w:rsidR="00422385" w:rsidRDefault="00000000" w:rsidP="00F20266">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34E00BDF" w14:textId="77777777" w:rsidR="00422385" w:rsidRDefault="00000000" w:rsidP="00F20266">
            <w:pPr>
              <w:keepNext/>
              <w:keepLines/>
              <w:spacing w:after="0" w:line="240" w:lineRule="auto"/>
              <w:jc w:val="both"/>
            </w:pPr>
            <w:r>
              <w:rPr>
                <w:b/>
                <w:sz w:val="18"/>
              </w:rPr>
              <w:t>Indeks (%)</w:t>
            </w:r>
          </w:p>
        </w:tc>
      </w:tr>
      <w:tr w:rsidR="00422385" w14:paraId="2E7664D8" w14:textId="77777777">
        <w:trPr>
          <w:cantSplit/>
          <w:trHeight w:val="560"/>
        </w:trPr>
        <w:tc>
          <w:tcPr>
            <w:tcW w:w="700" w:type="dxa"/>
            <w:tcMar>
              <w:top w:w="0" w:type="dxa"/>
              <w:bottom w:w="0" w:type="dxa"/>
            </w:tcMar>
            <w:vAlign w:val="center"/>
          </w:tcPr>
          <w:p w14:paraId="7789917B" w14:textId="77777777" w:rsidR="00422385" w:rsidRDefault="00000000" w:rsidP="00F20266">
            <w:pPr>
              <w:keepNext/>
              <w:keepLines/>
              <w:spacing w:after="0" w:line="240" w:lineRule="auto"/>
              <w:jc w:val="both"/>
            </w:pPr>
            <w:r>
              <w:rPr>
                <w:sz w:val="18"/>
              </w:rPr>
              <w:t>922</w:t>
            </w:r>
          </w:p>
        </w:tc>
        <w:tc>
          <w:tcPr>
            <w:tcW w:w="3180" w:type="dxa"/>
            <w:tcMar>
              <w:top w:w="0" w:type="dxa"/>
              <w:bottom w:w="0" w:type="dxa"/>
            </w:tcMar>
            <w:vAlign w:val="center"/>
          </w:tcPr>
          <w:p w14:paraId="739F0C13" w14:textId="77777777" w:rsidR="00422385" w:rsidRDefault="00000000" w:rsidP="00F20266">
            <w:pPr>
              <w:keepNext/>
              <w:keepLines/>
              <w:spacing w:after="0" w:line="240" w:lineRule="auto"/>
              <w:jc w:val="both"/>
            </w:pPr>
            <w:r>
              <w:rPr>
                <w:sz w:val="18"/>
              </w:rPr>
              <w:t>Rezultat - višak/manjak (šifre 9221-9222)</w:t>
            </w:r>
          </w:p>
        </w:tc>
        <w:tc>
          <w:tcPr>
            <w:tcW w:w="700" w:type="dxa"/>
            <w:tcMar>
              <w:top w:w="0" w:type="dxa"/>
              <w:bottom w:w="0" w:type="dxa"/>
            </w:tcMar>
            <w:vAlign w:val="center"/>
          </w:tcPr>
          <w:p w14:paraId="379F206D" w14:textId="77777777" w:rsidR="00422385" w:rsidRDefault="00000000" w:rsidP="00F20266">
            <w:pPr>
              <w:keepNext/>
              <w:keepLines/>
              <w:spacing w:after="0" w:line="240" w:lineRule="auto"/>
              <w:jc w:val="both"/>
            </w:pPr>
            <w:r>
              <w:rPr>
                <w:sz w:val="18"/>
              </w:rPr>
              <w:t>922</w:t>
            </w:r>
          </w:p>
        </w:tc>
        <w:tc>
          <w:tcPr>
            <w:tcW w:w="1860" w:type="dxa"/>
            <w:tcMar>
              <w:top w:w="0" w:type="dxa"/>
              <w:bottom w:w="0" w:type="dxa"/>
            </w:tcMar>
            <w:vAlign w:val="center"/>
          </w:tcPr>
          <w:p w14:paraId="6EABC23F" w14:textId="77777777" w:rsidR="00422385" w:rsidRDefault="00000000" w:rsidP="00F20266">
            <w:pPr>
              <w:keepNext/>
              <w:keepLines/>
              <w:spacing w:after="0" w:line="240" w:lineRule="auto"/>
              <w:jc w:val="both"/>
            </w:pPr>
            <w:r>
              <w:rPr>
                <w:sz w:val="18"/>
              </w:rPr>
              <w:t>3.429.474,80</w:t>
            </w:r>
          </w:p>
        </w:tc>
        <w:tc>
          <w:tcPr>
            <w:tcW w:w="1860" w:type="dxa"/>
            <w:tcMar>
              <w:top w:w="0" w:type="dxa"/>
              <w:bottom w:w="0" w:type="dxa"/>
            </w:tcMar>
            <w:vAlign w:val="center"/>
          </w:tcPr>
          <w:p w14:paraId="4E47E41F" w14:textId="77777777" w:rsidR="00422385" w:rsidRDefault="00000000" w:rsidP="00F20266">
            <w:pPr>
              <w:keepNext/>
              <w:keepLines/>
              <w:spacing w:after="0" w:line="240" w:lineRule="auto"/>
              <w:jc w:val="both"/>
            </w:pPr>
            <w:r>
              <w:rPr>
                <w:sz w:val="18"/>
              </w:rPr>
              <w:t>3.546.541,79</w:t>
            </w:r>
          </w:p>
        </w:tc>
        <w:tc>
          <w:tcPr>
            <w:tcW w:w="700" w:type="dxa"/>
            <w:tcMar>
              <w:top w:w="0" w:type="dxa"/>
              <w:bottom w:w="0" w:type="dxa"/>
            </w:tcMar>
            <w:vAlign w:val="center"/>
          </w:tcPr>
          <w:p w14:paraId="37074F35" w14:textId="77777777" w:rsidR="00422385" w:rsidRDefault="00000000" w:rsidP="00F20266">
            <w:pPr>
              <w:keepNext/>
              <w:keepLines/>
              <w:spacing w:after="0" w:line="240" w:lineRule="auto"/>
              <w:jc w:val="both"/>
            </w:pPr>
            <w:r>
              <w:rPr>
                <w:sz w:val="18"/>
              </w:rPr>
              <w:t>103,4</w:t>
            </w:r>
          </w:p>
        </w:tc>
      </w:tr>
    </w:tbl>
    <w:p w14:paraId="0F077BFA" w14:textId="77777777" w:rsidR="00422385" w:rsidRDefault="00422385" w:rsidP="00F20266">
      <w:pPr>
        <w:spacing w:after="0"/>
        <w:jc w:val="both"/>
      </w:pPr>
    </w:p>
    <w:p w14:paraId="2D2BE091" w14:textId="77777777" w:rsidR="00422385" w:rsidRDefault="00000000" w:rsidP="00F20266">
      <w:pPr>
        <w:jc w:val="both"/>
      </w:pPr>
      <w:r>
        <w:lastRenderedPageBreak/>
        <w:t>Rezultat - višak/manjak (šifre 9221-9222) šifra 922 na kraju izvještajnog razdoblja iznose 3.546.541,79 EUR odnosno 3,4% više od rezultata 2024. godine.</w:t>
      </w:r>
    </w:p>
    <w:p w14:paraId="0752DDBE" w14:textId="77777777" w:rsidR="00422385" w:rsidRDefault="00000000" w:rsidP="00F20266">
      <w:pPr>
        <w:jc w:val="both"/>
      </w:pPr>
      <w:r>
        <w:t>Rezultat višak/manjak sastoji se od slijedećih viškova/manjkova prihoda/rashoda i primitaka/izdataka:</w:t>
      </w:r>
    </w:p>
    <w:p w14:paraId="111164F1" w14:textId="77777777" w:rsidR="00422385" w:rsidRDefault="00000000" w:rsidP="00F20266">
      <w:pPr>
        <w:pStyle w:val="Odlomakpopisa"/>
        <w:numPr>
          <w:ilvl w:val="0"/>
          <w:numId w:val="1"/>
        </w:numPr>
        <w:jc w:val="both"/>
      </w:pPr>
      <w:r>
        <w:t>višak prihoda i primitaka u iznosu od 3.672.969,54 EUR : višak prihoda poslovanja u iznosu od 3.468.946,72 EUR i viška primitaka od nefinancijske imovine u iznosu od 204.022,82 EUR, i</w:t>
      </w:r>
    </w:p>
    <w:p w14:paraId="635A3DC0" w14:textId="77777777" w:rsidR="00422385" w:rsidRDefault="00000000" w:rsidP="00F20266">
      <w:pPr>
        <w:pStyle w:val="Odlomakpopisa"/>
        <w:numPr>
          <w:ilvl w:val="0"/>
          <w:numId w:val="1"/>
        </w:numPr>
        <w:jc w:val="both"/>
      </w:pPr>
      <w:r>
        <w:t>manjak prihoda i primitaka u iznosu od 126.427,75 EUR : manjak prihoda od nefinancijske imovine u istom iznosu.</w:t>
      </w:r>
    </w:p>
    <w:p w14:paraId="49CD8C4F" w14:textId="77777777" w:rsidR="002062DF" w:rsidRDefault="002062DF" w:rsidP="002062DF">
      <w:pPr>
        <w:pStyle w:val="Odlomakpopisa"/>
        <w:jc w:val="both"/>
      </w:pPr>
    </w:p>
    <w:p w14:paraId="17FFE48A" w14:textId="58D620B6" w:rsidR="00422385" w:rsidRDefault="00000000" w:rsidP="00F20266">
      <w:pPr>
        <w:jc w:val="both"/>
      </w:pPr>
      <w:r>
        <w:t>Nakon dobivenog rezultata pristupilo se korekciji rezultata, uz prethodno prebijanje viškova i manjkova po istovrsnim kategorijama, pa se napravila obvezna korekcija rezultata koja uključuje korekcije kapitalnih pomoći i prijenosa sredstava, korekcije kapitalnih rashoda financiranih iz prihoda poslovanja i financijske imovine, korekcije izdataka za ulaganja u dionice i udjele trgovačkih društava.</w:t>
      </w:r>
    </w:p>
    <w:p w14:paraId="0778671E" w14:textId="1C5D62D6" w:rsidR="002062DF" w:rsidRDefault="002062DF" w:rsidP="00F20266">
      <w:pPr>
        <w:jc w:val="both"/>
      </w:pPr>
      <w:r>
        <w:t xml:space="preserve">Korekcije rezultata učinjene su redoslijedno kako je i gore napisano, prvo prebijanjem viškova i manjkova po istovrsnim kategorijama i to </w:t>
      </w:r>
      <w:r w:rsidRPr="002062DF">
        <w:t>prebijanje</w:t>
      </w:r>
      <w:r>
        <w:t>m</w:t>
      </w:r>
      <w:r w:rsidRPr="002062DF">
        <w:t xml:space="preserve"> višk</w:t>
      </w:r>
      <w:r>
        <w:t>a</w:t>
      </w:r>
      <w:r w:rsidRPr="002062DF">
        <w:t>/manjk</w:t>
      </w:r>
      <w:r>
        <w:t>a</w:t>
      </w:r>
      <w:r w:rsidRPr="002062DF">
        <w:t xml:space="preserve"> od nefinancijske imovine</w:t>
      </w:r>
      <w:r>
        <w:t xml:space="preserve"> i </w:t>
      </w:r>
      <w:r w:rsidRPr="002062DF">
        <w:t>prebijanje višk</w:t>
      </w:r>
      <w:r>
        <w:t>a</w:t>
      </w:r>
      <w:r w:rsidRPr="002062DF">
        <w:t>/manjk</w:t>
      </w:r>
      <w:r>
        <w:t>a</w:t>
      </w:r>
      <w:r w:rsidRPr="002062DF">
        <w:t xml:space="preserve"> od financijske imovine</w:t>
      </w:r>
      <w:r w:rsidR="00734882">
        <w:t>. Zatim, učinjena je o</w:t>
      </w:r>
      <w:r w:rsidRPr="002062DF">
        <w:t>bvezna korekcija rezultata za financiranje kapit</w:t>
      </w:r>
      <w:r w:rsidR="00734882">
        <w:t xml:space="preserve">alnih </w:t>
      </w:r>
      <w:r w:rsidRPr="002062DF">
        <w:t>pomoći trg</w:t>
      </w:r>
      <w:r w:rsidR="00734882">
        <w:t xml:space="preserve">ovačkim </w:t>
      </w:r>
      <w:r w:rsidRPr="002062DF">
        <w:t>društvima (Vodovod, ŽUC, Komunalac)</w:t>
      </w:r>
      <w:r w:rsidR="00734882">
        <w:t>, korekcije za f</w:t>
      </w:r>
      <w:r w:rsidR="00734882" w:rsidRPr="00734882">
        <w:t>inan</w:t>
      </w:r>
      <w:r w:rsidR="00734882">
        <w:t>ciranje</w:t>
      </w:r>
      <w:r w:rsidR="00734882" w:rsidRPr="00734882">
        <w:t xml:space="preserve"> kapit</w:t>
      </w:r>
      <w:r w:rsidR="00734882">
        <w:t xml:space="preserve">alnih </w:t>
      </w:r>
      <w:r w:rsidR="00734882" w:rsidRPr="00734882">
        <w:t>pomoći iz prih</w:t>
      </w:r>
      <w:r w:rsidR="00734882">
        <w:t>oda</w:t>
      </w:r>
      <w:r w:rsidR="00734882" w:rsidRPr="00734882">
        <w:t xml:space="preserve"> poslovanja (</w:t>
      </w:r>
      <w:r w:rsidR="00734882">
        <w:t>b</w:t>
      </w:r>
      <w:r w:rsidR="00734882" w:rsidRPr="00734882">
        <w:t>olnica M. Horvat Rovinj)</w:t>
      </w:r>
      <w:r w:rsidR="00734882">
        <w:t>, korekcije za fi</w:t>
      </w:r>
      <w:r w:rsidR="00734882" w:rsidRPr="00734882">
        <w:t>n</w:t>
      </w:r>
      <w:r w:rsidR="00734882">
        <w:t>anc</w:t>
      </w:r>
      <w:r w:rsidR="00734882" w:rsidRPr="00734882">
        <w:t>iranje nab</w:t>
      </w:r>
      <w:r w:rsidR="00734882">
        <w:t xml:space="preserve">ave </w:t>
      </w:r>
      <w:r w:rsidR="00734882" w:rsidRPr="00734882">
        <w:t>nefin</w:t>
      </w:r>
      <w:r w:rsidR="00734882">
        <w:t xml:space="preserve">ancijske </w:t>
      </w:r>
      <w:r w:rsidR="00734882" w:rsidRPr="00734882">
        <w:t>imovine prorač</w:t>
      </w:r>
      <w:r w:rsidR="00734882">
        <w:t xml:space="preserve">unskog </w:t>
      </w:r>
      <w:r w:rsidR="00734882" w:rsidRPr="00734882">
        <w:t xml:space="preserve"> korisnika DV</w:t>
      </w:r>
      <w:r w:rsidR="00734882">
        <w:t xml:space="preserve">, korekcije za </w:t>
      </w:r>
      <w:r w:rsidR="00734882" w:rsidRPr="00734882">
        <w:t>financiranje rashoda za fin</w:t>
      </w:r>
      <w:r w:rsidR="00734882">
        <w:t xml:space="preserve">ancijsku </w:t>
      </w:r>
      <w:r w:rsidR="00734882" w:rsidRPr="00734882">
        <w:t>imovinu iz prihoda poslovanja</w:t>
      </w:r>
      <w:r w:rsidR="00734882">
        <w:t>,</w:t>
      </w:r>
      <w:r w:rsidR="00734882" w:rsidRPr="00734882">
        <w:t xml:space="preserve"> </w:t>
      </w:r>
      <w:r w:rsidR="0011721A">
        <w:t xml:space="preserve">te korekcije za </w:t>
      </w:r>
      <w:r w:rsidR="00734882" w:rsidRPr="00734882">
        <w:t>financiranje rashoda za dug</w:t>
      </w:r>
      <w:r w:rsidR="0011721A">
        <w:t xml:space="preserve">otrajnu </w:t>
      </w:r>
      <w:r w:rsidR="00734882" w:rsidRPr="00734882">
        <w:t>nefin</w:t>
      </w:r>
      <w:r w:rsidR="0011721A">
        <w:t xml:space="preserve">ancijsku </w:t>
      </w:r>
      <w:r w:rsidR="00734882" w:rsidRPr="00734882">
        <w:t>imovinu iz prihoda poslovanja</w:t>
      </w:r>
      <w:r w:rsidR="0011721A">
        <w:t>.</w:t>
      </w:r>
    </w:p>
    <w:p w14:paraId="47382A63" w14:textId="77777777" w:rsidR="002062DF" w:rsidRDefault="002062DF" w:rsidP="00F20266">
      <w:pPr>
        <w:jc w:val="both"/>
      </w:pPr>
    </w:p>
    <w:p w14:paraId="24F32C86" w14:textId="56E23CF5" w:rsidR="008C258B" w:rsidRDefault="008C258B" w:rsidP="008C258B">
      <w:pPr>
        <w:spacing w:after="0"/>
        <w:jc w:val="both"/>
      </w:pPr>
      <w:r>
        <w:t>Općina Fažana-Fasana je na kraju izvještajnog razdoblja odnosno na dan 31.12.2025. godine evidentirala slijedeće :</w:t>
      </w:r>
    </w:p>
    <w:p w14:paraId="1FFFD29E" w14:textId="77777777" w:rsidR="008C258B" w:rsidRDefault="008C258B" w:rsidP="008C258B">
      <w:pPr>
        <w:spacing w:after="0"/>
        <w:jc w:val="both"/>
      </w:pPr>
    </w:p>
    <w:p w14:paraId="343FCB3F" w14:textId="32538E8B" w:rsidR="008C258B" w:rsidRPr="0086303D" w:rsidRDefault="008C258B" w:rsidP="008C258B">
      <w:pPr>
        <w:numPr>
          <w:ilvl w:val="0"/>
          <w:numId w:val="4"/>
        </w:numPr>
        <w:spacing w:after="0" w:line="259" w:lineRule="auto"/>
        <w:jc w:val="both"/>
        <w:rPr>
          <w:b/>
          <w:bCs/>
          <w:i/>
          <w:iCs/>
        </w:rPr>
      </w:pPr>
      <w:r w:rsidRPr="0086303D">
        <w:rPr>
          <w:b/>
          <w:bCs/>
        </w:rPr>
        <w:t>Višak prihoda u ukupnom iznosu od 3.</w:t>
      </w:r>
      <w:r>
        <w:rPr>
          <w:b/>
          <w:bCs/>
        </w:rPr>
        <w:t>546.541,79</w:t>
      </w:r>
      <w:r w:rsidRPr="0086303D">
        <w:rPr>
          <w:b/>
          <w:bCs/>
        </w:rPr>
        <w:t xml:space="preserve"> EUR i to od : </w:t>
      </w:r>
    </w:p>
    <w:p w14:paraId="0E64ED2E" w14:textId="74A37110" w:rsidR="008C258B" w:rsidRPr="0086303D" w:rsidRDefault="008C258B" w:rsidP="008C258B">
      <w:pPr>
        <w:spacing w:after="0"/>
        <w:ind w:left="708" w:firstLine="708"/>
        <w:jc w:val="both"/>
        <w:rPr>
          <w:b/>
          <w:bCs/>
        </w:rPr>
      </w:pPr>
      <w:r w:rsidRPr="0086303D">
        <w:rPr>
          <w:b/>
          <w:bCs/>
        </w:rPr>
        <w:t xml:space="preserve">-viška prihoda poslovanja u iznosu od </w:t>
      </w:r>
      <w:r>
        <w:rPr>
          <w:b/>
          <w:bCs/>
        </w:rPr>
        <w:t>3.468.946,72</w:t>
      </w:r>
      <w:r w:rsidRPr="0086303D">
        <w:rPr>
          <w:b/>
          <w:bCs/>
        </w:rPr>
        <w:t xml:space="preserve"> EUR,</w:t>
      </w:r>
    </w:p>
    <w:p w14:paraId="50EBC784" w14:textId="47C11979" w:rsidR="008C258B" w:rsidRPr="0086303D" w:rsidRDefault="008C258B" w:rsidP="008C258B">
      <w:pPr>
        <w:spacing w:after="0"/>
        <w:ind w:left="708" w:firstLine="708"/>
        <w:jc w:val="both"/>
        <w:rPr>
          <w:b/>
          <w:bCs/>
        </w:rPr>
      </w:pPr>
      <w:r w:rsidRPr="0086303D">
        <w:rPr>
          <w:b/>
          <w:bCs/>
        </w:rPr>
        <w:t>-</w:t>
      </w:r>
      <w:r>
        <w:rPr>
          <w:b/>
          <w:bCs/>
        </w:rPr>
        <w:t>manj</w:t>
      </w:r>
      <w:r w:rsidRPr="0086303D">
        <w:rPr>
          <w:b/>
          <w:bCs/>
        </w:rPr>
        <w:t>a</w:t>
      </w:r>
      <w:r>
        <w:rPr>
          <w:b/>
          <w:bCs/>
        </w:rPr>
        <w:t>k</w:t>
      </w:r>
      <w:r w:rsidRPr="0086303D">
        <w:rPr>
          <w:b/>
          <w:bCs/>
        </w:rPr>
        <w:t xml:space="preserve"> prihoda od nefinancijske imovine u iznosu od </w:t>
      </w:r>
      <w:r>
        <w:rPr>
          <w:b/>
          <w:bCs/>
        </w:rPr>
        <w:t>126.427,75</w:t>
      </w:r>
      <w:r w:rsidRPr="0086303D">
        <w:rPr>
          <w:b/>
          <w:bCs/>
        </w:rPr>
        <w:t xml:space="preserve"> EUR i</w:t>
      </w:r>
    </w:p>
    <w:p w14:paraId="0051E993" w14:textId="77777777" w:rsidR="008C258B" w:rsidRDefault="008C258B" w:rsidP="008C258B">
      <w:pPr>
        <w:spacing w:after="0"/>
        <w:ind w:left="708" w:firstLine="708"/>
        <w:jc w:val="both"/>
        <w:rPr>
          <w:b/>
          <w:bCs/>
        </w:rPr>
      </w:pPr>
      <w:r w:rsidRPr="0086303D">
        <w:rPr>
          <w:b/>
          <w:bCs/>
        </w:rPr>
        <w:t>-viška primitaka od financijske imovine u iznosu od 204.022,82 EUR.</w:t>
      </w:r>
    </w:p>
    <w:p w14:paraId="1D390A21" w14:textId="77777777" w:rsidR="000A0517" w:rsidRDefault="000A0517" w:rsidP="000A0517">
      <w:pPr>
        <w:spacing w:after="0"/>
        <w:jc w:val="both"/>
      </w:pPr>
    </w:p>
    <w:p w14:paraId="175DFA92" w14:textId="1CCEA66B" w:rsidR="000A0517" w:rsidRPr="000A0517" w:rsidRDefault="000A0517" w:rsidP="000A0517">
      <w:pPr>
        <w:spacing w:after="0"/>
        <w:ind w:left="-1134"/>
        <w:jc w:val="both"/>
      </w:pPr>
      <w:r w:rsidRPr="000A0517">
        <w:t xml:space="preserve">Niže </w:t>
      </w:r>
      <w:r w:rsidR="0011721A">
        <w:t xml:space="preserve">u tablici </w:t>
      </w:r>
      <w:r w:rsidRPr="000A0517">
        <w:t>je prikazana usporedba rezultata u PR-RAS-u sa BILANCA-om i provedenim korekcijama.</w:t>
      </w:r>
    </w:p>
    <w:p w14:paraId="7FBB422B" w14:textId="77777777" w:rsidR="000A0517" w:rsidRDefault="000A0517" w:rsidP="000A0517">
      <w:pPr>
        <w:spacing w:after="0"/>
        <w:jc w:val="both"/>
        <w:rPr>
          <w:b/>
          <w:bCs/>
        </w:rPr>
      </w:pPr>
    </w:p>
    <w:p w14:paraId="33E9A1DB" w14:textId="505B2116" w:rsidR="008C258B" w:rsidRDefault="000A0517" w:rsidP="000A0517">
      <w:pPr>
        <w:ind w:hanging="1134"/>
        <w:jc w:val="both"/>
      </w:pPr>
      <w:r w:rsidRPr="000A0517">
        <w:rPr>
          <w:noProof/>
        </w:rPr>
        <w:lastRenderedPageBreak/>
        <w:drawing>
          <wp:inline distT="0" distB="0" distL="0" distR="0" wp14:anchorId="717294AA" wp14:editId="62543DC1">
            <wp:extent cx="7227133" cy="3003082"/>
            <wp:effectExtent l="0" t="0" r="0" b="6985"/>
            <wp:docPr id="46429369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1854" cy="3046596"/>
                    </a:xfrm>
                    <a:prstGeom prst="rect">
                      <a:avLst/>
                    </a:prstGeom>
                    <a:noFill/>
                    <a:ln>
                      <a:noFill/>
                    </a:ln>
                  </pic:spPr>
                </pic:pic>
              </a:graphicData>
            </a:graphic>
          </wp:inline>
        </w:drawing>
      </w:r>
    </w:p>
    <w:p w14:paraId="4EEF4A4A" w14:textId="77777777" w:rsidR="00422385" w:rsidRDefault="00422385" w:rsidP="00F20266">
      <w:pPr>
        <w:jc w:val="both"/>
      </w:pPr>
    </w:p>
    <w:p w14:paraId="4D01CFA6" w14:textId="77777777" w:rsidR="00422385" w:rsidRDefault="00000000" w:rsidP="00F20266">
      <w:pPr>
        <w:keepNext/>
        <w:spacing w:line="240" w:lineRule="auto"/>
        <w:jc w:val="both"/>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331ADBBC" w14:textId="77777777">
        <w:trPr>
          <w:cantSplit/>
        </w:trPr>
        <w:tc>
          <w:tcPr>
            <w:tcW w:w="700" w:type="dxa"/>
            <w:shd w:val="clear" w:color="auto" w:fill="E7F0F9"/>
            <w:tcMar>
              <w:top w:w="0" w:type="dxa"/>
              <w:bottom w:w="0" w:type="dxa"/>
            </w:tcMar>
            <w:vAlign w:val="center"/>
          </w:tcPr>
          <w:p w14:paraId="5987FA2E"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959F9C"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71908E7"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677489B" w14:textId="77777777" w:rsidR="00422385" w:rsidRDefault="00000000" w:rsidP="00F20266">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19292F1D" w14:textId="77777777" w:rsidR="00422385" w:rsidRDefault="00000000" w:rsidP="00F20266">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5C0125FA" w14:textId="77777777" w:rsidR="00422385" w:rsidRDefault="00000000" w:rsidP="00F20266">
            <w:pPr>
              <w:keepNext/>
              <w:keepLines/>
              <w:spacing w:after="0" w:line="240" w:lineRule="auto"/>
              <w:jc w:val="both"/>
            </w:pPr>
            <w:r>
              <w:rPr>
                <w:b/>
                <w:sz w:val="18"/>
              </w:rPr>
              <w:t>Indeks (%)</w:t>
            </w:r>
          </w:p>
        </w:tc>
      </w:tr>
      <w:tr w:rsidR="00422385" w14:paraId="3BB453F9" w14:textId="77777777">
        <w:trPr>
          <w:cantSplit/>
          <w:trHeight w:val="560"/>
        </w:trPr>
        <w:tc>
          <w:tcPr>
            <w:tcW w:w="700" w:type="dxa"/>
            <w:tcMar>
              <w:top w:w="0" w:type="dxa"/>
              <w:bottom w:w="0" w:type="dxa"/>
            </w:tcMar>
            <w:vAlign w:val="center"/>
          </w:tcPr>
          <w:p w14:paraId="286C9510" w14:textId="77777777" w:rsidR="00422385" w:rsidRDefault="00000000" w:rsidP="00F20266">
            <w:pPr>
              <w:keepNext/>
              <w:keepLines/>
              <w:spacing w:after="0" w:line="240" w:lineRule="auto"/>
              <w:jc w:val="both"/>
            </w:pPr>
            <w:r>
              <w:rPr>
                <w:sz w:val="18"/>
              </w:rPr>
              <w:t>991</w:t>
            </w:r>
          </w:p>
        </w:tc>
        <w:tc>
          <w:tcPr>
            <w:tcW w:w="3180" w:type="dxa"/>
            <w:tcMar>
              <w:top w:w="0" w:type="dxa"/>
              <w:bottom w:w="0" w:type="dxa"/>
            </w:tcMar>
            <w:vAlign w:val="center"/>
          </w:tcPr>
          <w:p w14:paraId="689F5184" w14:textId="77777777" w:rsidR="00422385" w:rsidRDefault="00000000" w:rsidP="00F20266">
            <w:pPr>
              <w:keepNext/>
              <w:keepLines/>
              <w:spacing w:after="0" w:line="240" w:lineRule="auto"/>
              <w:jc w:val="both"/>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43071277" w14:textId="77777777" w:rsidR="00422385" w:rsidRDefault="00000000" w:rsidP="00F20266">
            <w:pPr>
              <w:keepNext/>
              <w:keepLines/>
              <w:spacing w:after="0" w:line="240" w:lineRule="auto"/>
              <w:jc w:val="both"/>
            </w:pPr>
            <w:r>
              <w:rPr>
                <w:sz w:val="18"/>
              </w:rPr>
              <w:t>991</w:t>
            </w:r>
          </w:p>
        </w:tc>
        <w:tc>
          <w:tcPr>
            <w:tcW w:w="1860" w:type="dxa"/>
            <w:tcMar>
              <w:top w:w="0" w:type="dxa"/>
              <w:bottom w:w="0" w:type="dxa"/>
            </w:tcMar>
            <w:vAlign w:val="center"/>
          </w:tcPr>
          <w:p w14:paraId="015C2D16" w14:textId="77777777" w:rsidR="00422385" w:rsidRDefault="00000000" w:rsidP="00F20266">
            <w:pPr>
              <w:keepNext/>
              <w:keepLines/>
              <w:spacing w:after="0" w:line="240" w:lineRule="auto"/>
              <w:jc w:val="both"/>
            </w:pPr>
            <w:r>
              <w:rPr>
                <w:sz w:val="18"/>
              </w:rPr>
              <w:t>1.846.418,37</w:t>
            </w:r>
          </w:p>
        </w:tc>
        <w:tc>
          <w:tcPr>
            <w:tcW w:w="1860" w:type="dxa"/>
            <w:tcMar>
              <w:top w:w="0" w:type="dxa"/>
              <w:bottom w:w="0" w:type="dxa"/>
            </w:tcMar>
            <w:vAlign w:val="center"/>
          </w:tcPr>
          <w:p w14:paraId="483A4DE7" w14:textId="77777777" w:rsidR="00422385" w:rsidRDefault="00000000" w:rsidP="00F20266">
            <w:pPr>
              <w:keepNext/>
              <w:keepLines/>
              <w:spacing w:after="0" w:line="240" w:lineRule="auto"/>
              <w:jc w:val="both"/>
            </w:pPr>
            <w:r>
              <w:rPr>
                <w:sz w:val="18"/>
              </w:rPr>
              <w:t>8.371.550,13</w:t>
            </w:r>
          </w:p>
        </w:tc>
        <w:tc>
          <w:tcPr>
            <w:tcW w:w="700" w:type="dxa"/>
            <w:tcMar>
              <w:top w:w="0" w:type="dxa"/>
              <w:bottom w:w="0" w:type="dxa"/>
            </w:tcMar>
            <w:vAlign w:val="center"/>
          </w:tcPr>
          <w:p w14:paraId="7FCB7780" w14:textId="77777777" w:rsidR="00422385" w:rsidRDefault="00000000" w:rsidP="00F20266">
            <w:pPr>
              <w:keepNext/>
              <w:keepLines/>
              <w:spacing w:after="0" w:line="240" w:lineRule="auto"/>
              <w:jc w:val="both"/>
            </w:pPr>
            <w:r>
              <w:rPr>
                <w:sz w:val="18"/>
              </w:rPr>
              <w:t>453,4</w:t>
            </w:r>
          </w:p>
        </w:tc>
      </w:tr>
    </w:tbl>
    <w:p w14:paraId="100655A5" w14:textId="77777777" w:rsidR="00422385" w:rsidRDefault="00422385" w:rsidP="00F20266">
      <w:pPr>
        <w:spacing w:after="0"/>
        <w:jc w:val="both"/>
      </w:pPr>
    </w:p>
    <w:p w14:paraId="5E105AC7" w14:textId="77777777" w:rsidR="00422385" w:rsidRDefault="00000000" w:rsidP="00F20266">
      <w:pPr>
        <w:jc w:val="both"/>
      </w:pPr>
      <w:proofErr w:type="spellStart"/>
      <w:r>
        <w:t>Izvanbilančni</w:t>
      </w:r>
      <w:proofErr w:type="spellEnd"/>
      <w:r>
        <w:t xml:space="preserve"> zapisi - aktiva (šifra 996) šifra 991 na kraju izvještajnog razdoblja iznose 8.371.550,13 EUR odnosno 353,4% više od 2024. godine kad su iznosili 1.846.418,37 EUR.</w:t>
      </w:r>
    </w:p>
    <w:p w14:paraId="2E789DA7" w14:textId="77777777" w:rsidR="00A46CAE" w:rsidRDefault="00A46CAE" w:rsidP="00A46CAE">
      <w:pPr>
        <w:jc w:val="both"/>
      </w:pPr>
      <w:r w:rsidRPr="002C05C9">
        <w:t xml:space="preserve">Povećanje na </w:t>
      </w:r>
      <w:proofErr w:type="spellStart"/>
      <w:r w:rsidRPr="002C05C9">
        <w:t>Izvanbilančnim</w:t>
      </w:r>
      <w:proofErr w:type="spellEnd"/>
      <w:r w:rsidRPr="002C05C9">
        <w:t xml:space="preserve"> zapisima za 353,4% u odnosu na 2024. godinu uslijedilo je zbog povećanja i knjiženja </w:t>
      </w:r>
      <w:r>
        <w:t>najvećim dijelom danih jamstava u visini od 5.590.000,00 EUR (niže navedenih).</w:t>
      </w:r>
    </w:p>
    <w:p w14:paraId="6444CB75" w14:textId="77777777" w:rsidR="00A46CAE" w:rsidRPr="002C05C9" w:rsidRDefault="00A46CAE" w:rsidP="00A46CAE">
      <w:pPr>
        <w:jc w:val="both"/>
      </w:pPr>
      <w:proofErr w:type="spellStart"/>
      <w:r>
        <w:t>Izvanbilančni</w:t>
      </w:r>
      <w:proofErr w:type="spellEnd"/>
      <w:r>
        <w:t xml:space="preserve"> zapisi sastoje se od </w:t>
      </w:r>
      <w:r w:rsidRPr="002C05C9">
        <w:t>slijedećih stavki:</w:t>
      </w:r>
    </w:p>
    <w:p w14:paraId="3E3E45C2" w14:textId="77777777" w:rsidR="00A46CAE" w:rsidRPr="002C05C9" w:rsidRDefault="00A46CAE" w:rsidP="00A46CAE">
      <w:pPr>
        <w:numPr>
          <w:ilvl w:val="0"/>
          <w:numId w:val="1"/>
        </w:numPr>
        <w:spacing w:after="0" w:line="240" w:lineRule="auto"/>
        <w:contextualSpacing/>
        <w:jc w:val="both"/>
      </w:pPr>
      <w:r w:rsidRPr="002C05C9">
        <w:t xml:space="preserve">korištenje tuđe imovine (vatrogasno vozilo marke Mercedes </w:t>
      </w:r>
      <w:proofErr w:type="spellStart"/>
      <w:r w:rsidRPr="002C05C9">
        <w:t>Atego</w:t>
      </w:r>
      <w:proofErr w:type="spellEnd"/>
      <w:r w:rsidRPr="002C05C9">
        <w:t>, za potrebe vatrogasne postrojbe DVD Fažana, u vrijednosti od 198.404,01 EUR</w:t>
      </w:r>
      <w:r>
        <w:t xml:space="preserve"> (stavka prijašnjih godina)</w:t>
      </w:r>
      <w:r w:rsidRPr="002C05C9">
        <w:t>,</w:t>
      </w:r>
    </w:p>
    <w:p w14:paraId="7606FFC9" w14:textId="77777777" w:rsidR="00A46CAE" w:rsidRPr="002C05C9" w:rsidRDefault="00A46CAE" w:rsidP="00A46CAE">
      <w:pPr>
        <w:numPr>
          <w:ilvl w:val="0"/>
          <w:numId w:val="1"/>
        </w:numPr>
        <w:spacing w:after="0" w:line="240" w:lineRule="auto"/>
        <w:contextualSpacing/>
        <w:jc w:val="both"/>
      </w:pPr>
      <w:r w:rsidRPr="002C05C9">
        <w:t xml:space="preserve">potencijalnih obveza po danim jamstvima u iznosu od </w:t>
      </w:r>
      <w:r>
        <w:t>5.775.811,93</w:t>
      </w:r>
      <w:r w:rsidRPr="002C05C9">
        <w:t xml:space="preserve"> EUR (od toga 2 </w:t>
      </w:r>
      <w:proofErr w:type="spellStart"/>
      <w:r w:rsidRPr="002C05C9">
        <w:t>mil</w:t>
      </w:r>
      <w:proofErr w:type="spellEnd"/>
      <w:r w:rsidRPr="002C05C9">
        <w:t>. EUR je dano jamstvo za dugoročni kredit prema banci IKB Umag d.d., 40.000,00 EUR dano jamstvo za sufinanciranje izgradnje bolnice M.</w:t>
      </w:r>
      <w:r>
        <w:t xml:space="preserve"> </w:t>
      </w:r>
      <w:r w:rsidRPr="002C05C9">
        <w:t>Horvat Rovinj, te jamstvo u iznosu od 3.550.000,00 EUR za Aglomeraciju Pula Sjever Vodovod - ZABA)</w:t>
      </w:r>
    </w:p>
    <w:p w14:paraId="058FB9D5" w14:textId="77777777" w:rsidR="00A46CAE" w:rsidRPr="002C05C9" w:rsidRDefault="00A46CAE" w:rsidP="00A46CAE">
      <w:pPr>
        <w:numPr>
          <w:ilvl w:val="0"/>
          <w:numId w:val="1"/>
        </w:numPr>
        <w:spacing w:after="0" w:line="240" w:lineRule="auto"/>
        <w:contextualSpacing/>
        <w:jc w:val="both"/>
      </w:pPr>
      <w:r w:rsidRPr="002C05C9">
        <w:t>jamstva po postupcima javnih nabava (</w:t>
      </w:r>
      <w:r w:rsidRPr="002C05C9">
        <w:rPr>
          <w:bCs/>
          <w:iCs/>
        </w:rPr>
        <w:t xml:space="preserve">bjanko zadužnice i bankarske garancije od trgovačkih društava za ozbiljnost ponuda, jamstva za uklanjanje nedostataka u odrađenim poslovima javne i jednostavne nabave) </w:t>
      </w:r>
      <w:r w:rsidRPr="002C05C9">
        <w:t xml:space="preserve">u ukupnom iznosu od </w:t>
      </w:r>
      <w:r>
        <w:t>941.119,45</w:t>
      </w:r>
      <w:r w:rsidRPr="002C05C9">
        <w:t xml:space="preserve"> EUR</w:t>
      </w:r>
    </w:p>
    <w:p w14:paraId="75D8E4EF" w14:textId="77777777" w:rsidR="00A46CAE" w:rsidRDefault="00A46CAE" w:rsidP="00A46CAE">
      <w:pPr>
        <w:numPr>
          <w:ilvl w:val="0"/>
          <w:numId w:val="1"/>
        </w:numPr>
        <w:spacing w:after="0" w:line="240" w:lineRule="auto"/>
        <w:contextualSpacing/>
        <w:jc w:val="both"/>
      </w:pPr>
      <w:r w:rsidRPr="002C05C9">
        <w:t xml:space="preserve">potencijalne obveze po sudskim sporovima u iznosu od </w:t>
      </w:r>
      <w:r>
        <w:t>1.319.641,58</w:t>
      </w:r>
      <w:r w:rsidRPr="002C05C9">
        <w:t xml:space="preserve"> EUR</w:t>
      </w:r>
    </w:p>
    <w:p w14:paraId="1CD3ACBF" w14:textId="77777777" w:rsidR="00A46CAE" w:rsidRPr="002C05C9" w:rsidRDefault="00A46CAE" w:rsidP="00A46CAE">
      <w:pPr>
        <w:spacing w:after="0" w:line="240" w:lineRule="auto"/>
        <w:ind w:left="720"/>
        <w:contextualSpacing/>
        <w:jc w:val="both"/>
      </w:pPr>
      <w:r w:rsidRPr="002C05C9">
        <w:t> </w:t>
      </w:r>
    </w:p>
    <w:p w14:paraId="7F96E20A" w14:textId="77777777" w:rsidR="00A46CAE" w:rsidRPr="00D60055" w:rsidRDefault="00A46CAE" w:rsidP="00A46CAE">
      <w:pPr>
        <w:spacing w:after="0" w:line="259" w:lineRule="auto"/>
        <w:jc w:val="both"/>
        <w:rPr>
          <w:rFonts w:eastAsia="Calibri"/>
          <w:bCs/>
          <w:iCs/>
        </w:rPr>
      </w:pPr>
      <w:r w:rsidRPr="00D60055">
        <w:rPr>
          <w:rFonts w:eastAsia="Calibri"/>
          <w:bCs/>
          <w:iCs/>
        </w:rPr>
        <w:lastRenderedPageBreak/>
        <w:t xml:space="preserve">Također, </w:t>
      </w:r>
      <w:proofErr w:type="spellStart"/>
      <w:r w:rsidRPr="00D60055">
        <w:rPr>
          <w:rFonts w:eastAsia="Calibri"/>
          <w:bCs/>
          <w:iCs/>
        </w:rPr>
        <w:t>izvanbilančno</w:t>
      </w:r>
      <w:proofErr w:type="spellEnd"/>
      <w:r w:rsidRPr="00D60055">
        <w:rPr>
          <w:rFonts w:eastAsia="Calibri"/>
          <w:bCs/>
          <w:iCs/>
        </w:rPr>
        <w:t xml:space="preserve"> su proknjižene i </w:t>
      </w:r>
      <w:r w:rsidRPr="00D60055">
        <w:rPr>
          <w:rFonts w:eastAsia="Calibri"/>
          <w:b/>
          <w:bCs/>
          <w:i/>
          <w:iCs/>
        </w:rPr>
        <w:t xml:space="preserve">nedospjele obveze </w:t>
      </w:r>
      <w:r w:rsidRPr="00D60055">
        <w:rPr>
          <w:rFonts w:eastAsia="Calibri"/>
        </w:rPr>
        <w:t xml:space="preserve">(pod ostalim </w:t>
      </w:r>
      <w:proofErr w:type="spellStart"/>
      <w:r w:rsidRPr="00D60055">
        <w:rPr>
          <w:rFonts w:eastAsia="Calibri"/>
        </w:rPr>
        <w:t>izvanbilančnim</w:t>
      </w:r>
      <w:proofErr w:type="spellEnd"/>
      <w:r w:rsidRPr="00D60055">
        <w:rPr>
          <w:rFonts w:eastAsia="Calibri"/>
        </w:rPr>
        <w:t xml:space="preserve"> zapisima 9969)</w:t>
      </w:r>
      <w:r w:rsidRPr="00D60055">
        <w:rPr>
          <w:rFonts w:eastAsia="Calibri"/>
          <w:b/>
          <w:bCs/>
          <w:i/>
          <w:iCs/>
        </w:rPr>
        <w:t xml:space="preserve"> u iznosu od </w:t>
      </w:r>
      <w:r>
        <w:rPr>
          <w:rFonts w:eastAsia="Calibri"/>
          <w:b/>
          <w:bCs/>
          <w:i/>
          <w:iCs/>
        </w:rPr>
        <w:t>136.573,16</w:t>
      </w:r>
      <w:r w:rsidRPr="00D60055">
        <w:rPr>
          <w:rFonts w:eastAsia="Calibri"/>
          <w:b/>
          <w:bCs/>
          <w:i/>
          <w:iCs/>
        </w:rPr>
        <w:t xml:space="preserve"> EUR, prema</w:t>
      </w:r>
      <w:r w:rsidRPr="00D60055">
        <w:rPr>
          <w:rFonts w:eastAsia="Calibri"/>
          <w:bCs/>
          <w:iCs/>
        </w:rPr>
        <w:t xml:space="preserve"> :</w:t>
      </w:r>
    </w:p>
    <w:p w14:paraId="5A6AA4D9" w14:textId="77777777" w:rsidR="00A46CAE" w:rsidRPr="00D60055" w:rsidRDefault="00A46CAE" w:rsidP="00A46CAE">
      <w:pPr>
        <w:spacing w:after="0" w:line="259" w:lineRule="auto"/>
        <w:jc w:val="both"/>
        <w:rPr>
          <w:rFonts w:eastAsia="Calibri"/>
          <w:bCs/>
          <w:iCs/>
        </w:rPr>
      </w:pPr>
      <w:r w:rsidRPr="00D60055">
        <w:rPr>
          <w:rFonts w:eastAsia="Calibri"/>
          <w:bCs/>
          <w:iCs/>
        </w:rPr>
        <w:t xml:space="preserve">- Istarskoj županiji za izgradnju Županijskog centra za gospodarenje otpadom – </w:t>
      </w:r>
      <w:proofErr w:type="spellStart"/>
      <w:r w:rsidRPr="00D60055">
        <w:rPr>
          <w:rFonts w:eastAsia="Calibri"/>
          <w:bCs/>
          <w:iCs/>
        </w:rPr>
        <w:t>Kaštijun</w:t>
      </w:r>
      <w:proofErr w:type="spellEnd"/>
      <w:r w:rsidRPr="00D60055">
        <w:rPr>
          <w:rFonts w:eastAsia="Calibri"/>
          <w:bCs/>
          <w:iCs/>
        </w:rPr>
        <w:t xml:space="preserve"> do 2036.godine, u nedospjelom iznosu od </w:t>
      </w:r>
      <w:r w:rsidRPr="00362A9B">
        <w:rPr>
          <w:rFonts w:eastAsia="Calibri"/>
          <w:bCs/>
          <w:iCs/>
        </w:rPr>
        <w:t>105</w:t>
      </w:r>
      <w:r>
        <w:rPr>
          <w:rFonts w:eastAsia="Calibri"/>
          <w:bCs/>
          <w:iCs/>
        </w:rPr>
        <w:t>.</w:t>
      </w:r>
      <w:r w:rsidRPr="00362A9B">
        <w:rPr>
          <w:rFonts w:eastAsia="Calibri"/>
          <w:bCs/>
          <w:iCs/>
        </w:rPr>
        <w:t>262</w:t>
      </w:r>
      <w:r>
        <w:rPr>
          <w:rFonts w:eastAsia="Calibri"/>
          <w:bCs/>
          <w:iCs/>
        </w:rPr>
        <w:t>,</w:t>
      </w:r>
      <w:r w:rsidRPr="00362A9B">
        <w:rPr>
          <w:rFonts w:eastAsia="Calibri"/>
          <w:bCs/>
          <w:iCs/>
        </w:rPr>
        <w:t>92</w:t>
      </w:r>
      <w:r>
        <w:rPr>
          <w:rFonts w:eastAsia="Calibri"/>
          <w:bCs/>
          <w:iCs/>
        </w:rPr>
        <w:t xml:space="preserve"> </w:t>
      </w:r>
      <w:r w:rsidRPr="00D60055">
        <w:rPr>
          <w:rFonts w:eastAsia="Calibri"/>
          <w:bCs/>
          <w:iCs/>
        </w:rPr>
        <w:t>EUR</w:t>
      </w:r>
    </w:p>
    <w:p w14:paraId="4843058E" w14:textId="77777777" w:rsidR="00A46CAE" w:rsidRDefault="00A46CAE" w:rsidP="00A46CAE">
      <w:pPr>
        <w:spacing w:after="0" w:line="259" w:lineRule="auto"/>
        <w:jc w:val="both"/>
        <w:rPr>
          <w:rFonts w:eastAsia="Calibri"/>
          <w:bCs/>
          <w:iCs/>
        </w:rPr>
      </w:pPr>
      <w:r w:rsidRPr="00D60055">
        <w:rPr>
          <w:rFonts w:eastAsia="Calibri"/>
          <w:bCs/>
          <w:iCs/>
        </w:rPr>
        <w:t xml:space="preserve">-  Istarskoj županiji za izgradnju/rekonstrukciju specijalne Bolnice za rehabilitaciju Rovinj, Martin Horvat od 2025. – 2036. godine, u nedospjelom iznosu od </w:t>
      </w:r>
      <w:r w:rsidRPr="00362A9B">
        <w:rPr>
          <w:rFonts w:eastAsia="Calibri"/>
          <w:bCs/>
          <w:iCs/>
        </w:rPr>
        <w:t>31</w:t>
      </w:r>
      <w:r>
        <w:rPr>
          <w:rFonts w:eastAsia="Calibri"/>
          <w:bCs/>
          <w:iCs/>
        </w:rPr>
        <w:t>.</w:t>
      </w:r>
      <w:r w:rsidRPr="00362A9B">
        <w:rPr>
          <w:rFonts w:eastAsia="Calibri"/>
          <w:bCs/>
          <w:iCs/>
        </w:rPr>
        <w:t>310</w:t>
      </w:r>
      <w:r>
        <w:rPr>
          <w:rFonts w:eastAsia="Calibri"/>
          <w:bCs/>
          <w:iCs/>
        </w:rPr>
        <w:t>,</w:t>
      </w:r>
      <w:r w:rsidRPr="00362A9B">
        <w:rPr>
          <w:rFonts w:eastAsia="Calibri"/>
          <w:bCs/>
          <w:iCs/>
        </w:rPr>
        <w:t>24</w:t>
      </w:r>
      <w:r>
        <w:rPr>
          <w:rFonts w:eastAsia="Calibri"/>
          <w:bCs/>
          <w:iCs/>
        </w:rPr>
        <w:t xml:space="preserve"> </w:t>
      </w:r>
      <w:r w:rsidRPr="00D60055">
        <w:rPr>
          <w:rFonts w:eastAsia="Calibri"/>
          <w:bCs/>
          <w:iCs/>
        </w:rPr>
        <w:t>EUR.</w:t>
      </w:r>
    </w:p>
    <w:p w14:paraId="71187A2D" w14:textId="028ED2EE" w:rsidR="00422385" w:rsidRDefault="00422385" w:rsidP="00A46CAE">
      <w:pPr>
        <w:jc w:val="both"/>
      </w:pPr>
    </w:p>
    <w:p w14:paraId="5314157F" w14:textId="77777777" w:rsidR="00422385" w:rsidRDefault="00000000" w:rsidP="00F20266">
      <w:pPr>
        <w:jc w:val="both"/>
      </w:pPr>
      <w:r>
        <w:t> </w:t>
      </w:r>
    </w:p>
    <w:p w14:paraId="44897A6F" w14:textId="77777777" w:rsidR="00422385" w:rsidRDefault="00000000" w:rsidP="00F20266">
      <w:pPr>
        <w:jc w:val="both"/>
      </w:pPr>
      <w:r>
        <w:br/>
      </w:r>
    </w:p>
    <w:p w14:paraId="692AD13C" w14:textId="77777777" w:rsidR="00422385" w:rsidRDefault="00422385" w:rsidP="00F20266">
      <w:pPr>
        <w:jc w:val="both"/>
      </w:pPr>
    </w:p>
    <w:p w14:paraId="2AA9CDA1" w14:textId="77777777" w:rsidR="00422385" w:rsidRDefault="00000000" w:rsidP="00F20266">
      <w:pPr>
        <w:keepNext/>
        <w:spacing w:line="240" w:lineRule="auto"/>
        <w:jc w:val="both"/>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5964AA8D" w14:textId="77777777">
        <w:trPr>
          <w:cantSplit/>
        </w:trPr>
        <w:tc>
          <w:tcPr>
            <w:tcW w:w="700" w:type="dxa"/>
            <w:shd w:val="clear" w:color="auto" w:fill="E7F0F9"/>
            <w:tcMar>
              <w:top w:w="0" w:type="dxa"/>
              <w:bottom w:w="0" w:type="dxa"/>
            </w:tcMar>
            <w:vAlign w:val="center"/>
          </w:tcPr>
          <w:p w14:paraId="4F42635E"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EAEABC"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F3C031E"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C50610E" w14:textId="77777777" w:rsidR="00422385" w:rsidRDefault="00000000" w:rsidP="00F20266">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02A810AF" w14:textId="77777777" w:rsidR="00422385" w:rsidRDefault="00000000" w:rsidP="00F20266">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0494BEB4" w14:textId="77777777" w:rsidR="00422385" w:rsidRDefault="00000000" w:rsidP="00F20266">
            <w:pPr>
              <w:keepNext/>
              <w:keepLines/>
              <w:spacing w:after="0" w:line="240" w:lineRule="auto"/>
              <w:jc w:val="both"/>
            </w:pPr>
            <w:r>
              <w:rPr>
                <w:b/>
                <w:sz w:val="18"/>
              </w:rPr>
              <w:t>Indeks (%)</w:t>
            </w:r>
          </w:p>
        </w:tc>
      </w:tr>
      <w:tr w:rsidR="00422385" w14:paraId="02F2DF77" w14:textId="77777777">
        <w:trPr>
          <w:cantSplit/>
          <w:trHeight w:val="560"/>
        </w:trPr>
        <w:tc>
          <w:tcPr>
            <w:tcW w:w="700" w:type="dxa"/>
            <w:tcMar>
              <w:top w:w="0" w:type="dxa"/>
              <w:bottom w:w="0" w:type="dxa"/>
            </w:tcMar>
            <w:vAlign w:val="center"/>
          </w:tcPr>
          <w:p w14:paraId="05EFC5AC" w14:textId="77777777" w:rsidR="00422385" w:rsidRDefault="00000000" w:rsidP="00F20266">
            <w:pPr>
              <w:keepNext/>
              <w:keepLines/>
              <w:spacing w:after="0" w:line="240" w:lineRule="auto"/>
              <w:jc w:val="both"/>
            </w:pPr>
            <w:r>
              <w:rPr>
                <w:sz w:val="18"/>
              </w:rPr>
              <w:t>996</w:t>
            </w:r>
          </w:p>
        </w:tc>
        <w:tc>
          <w:tcPr>
            <w:tcW w:w="3180" w:type="dxa"/>
            <w:tcMar>
              <w:top w:w="0" w:type="dxa"/>
              <w:bottom w:w="0" w:type="dxa"/>
            </w:tcMar>
            <w:vAlign w:val="center"/>
          </w:tcPr>
          <w:p w14:paraId="5A7F1599" w14:textId="77777777" w:rsidR="00422385" w:rsidRDefault="00000000" w:rsidP="00F20266">
            <w:pPr>
              <w:keepNext/>
              <w:keepLines/>
              <w:spacing w:after="0" w:line="240" w:lineRule="auto"/>
              <w:jc w:val="both"/>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14:paraId="586C7EAC" w14:textId="77777777" w:rsidR="00422385" w:rsidRDefault="00000000" w:rsidP="00F20266">
            <w:pPr>
              <w:keepNext/>
              <w:keepLines/>
              <w:spacing w:after="0" w:line="240" w:lineRule="auto"/>
              <w:jc w:val="both"/>
            </w:pPr>
            <w:r>
              <w:rPr>
                <w:sz w:val="18"/>
              </w:rPr>
              <w:t>996</w:t>
            </w:r>
          </w:p>
        </w:tc>
        <w:tc>
          <w:tcPr>
            <w:tcW w:w="1860" w:type="dxa"/>
            <w:tcMar>
              <w:top w:w="0" w:type="dxa"/>
              <w:bottom w:w="0" w:type="dxa"/>
            </w:tcMar>
            <w:vAlign w:val="center"/>
          </w:tcPr>
          <w:p w14:paraId="5544827F" w14:textId="77777777" w:rsidR="00422385" w:rsidRDefault="00000000" w:rsidP="00F20266">
            <w:pPr>
              <w:keepNext/>
              <w:keepLines/>
              <w:spacing w:after="0" w:line="240" w:lineRule="auto"/>
              <w:jc w:val="both"/>
            </w:pPr>
            <w:r>
              <w:rPr>
                <w:sz w:val="18"/>
              </w:rPr>
              <w:t>1.846.418,37</w:t>
            </w:r>
          </w:p>
        </w:tc>
        <w:tc>
          <w:tcPr>
            <w:tcW w:w="1860" w:type="dxa"/>
            <w:tcMar>
              <w:top w:w="0" w:type="dxa"/>
              <w:bottom w:w="0" w:type="dxa"/>
            </w:tcMar>
            <w:vAlign w:val="center"/>
          </w:tcPr>
          <w:p w14:paraId="404F1F33" w14:textId="77777777" w:rsidR="00422385" w:rsidRDefault="00000000" w:rsidP="00F20266">
            <w:pPr>
              <w:keepNext/>
              <w:keepLines/>
              <w:spacing w:after="0" w:line="240" w:lineRule="auto"/>
              <w:jc w:val="both"/>
            </w:pPr>
            <w:r>
              <w:rPr>
                <w:sz w:val="18"/>
              </w:rPr>
              <w:t>8.371.550,13</w:t>
            </w:r>
          </w:p>
        </w:tc>
        <w:tc>
          <w:tcPr>
            <w:tcW w:w="700" w:type="dxa"/>
            <w:tcMar>
              <w:top w:w="0" w:type="dxa"/>
              <w:bottom w:w="0" w:type="dxa"/>
            </w:tcMar>
            <w:vAlign w:val="center"/>
          </w:tcPr>
          <w:p w14:paraId="366CB1EF" w14:textId="77777777" w:rsidR="00422385" w:rsidRDefault="00000000" w:rsidP="00F20266">
            <w:pPr>
              <w:keepNext/>
              <w:keepLines/>
              <w:spacing w:after="0" w:line="240" w:lineRule="auto"/>
              <w:jc w:val="both"/>
            </w:pPr>
            <w:r>
              <w:rPr>
                <w:sz w:val="18"/>
              </w:rPr>
              <w:t>453,4</w:t>
            </w:r>
          </w:p>
        </w:tc>
      </w:tr>
    </w:tbl>
    <w:p w14:paraId="3A739034" w14:textId="77777777" w:rsidR="00422385" w:rsidRDefault="00422385" w:rsidP="00F20266">
      <w:pPr>
        <w:spacing w:after="0"/>
        <w:jc w:val="both"/>
      </w:pPr>
    </w:p>
    <w:p w14:paraId="7E6FE8AA" w14:textId="77777777" w:rsidR="00422385" w:rsidRDefault="00000000" w:rsidP="00F20266">
      <w:pPr>
        <w:jc w:val="both"/>
      </w:pPr>
      <w:proofErr w:type="spellStart"/>
      <w:r>
        <w:t>Izvanbilančni</w:t>
      </w:r>
      <w:proofErr w:type="spellEnd"/>
      <w:r>
        <w:t xml:space="preserve"> zapisi - pasiva (šifra 996) na kraju izvještajnog razdoblja iznose 8.371.550,13 EUR odnosno 353,4% više u odnosu na 2024. godinu.</w:t>
      </w:r>
    </w:p>
    <w:p w14:paraId="263DC76F" w14:textId="77777777" w:rsidR="00422385" w:rsidRDefault="00000000" w:rsidP="00F20266">
      <w:pPr>
        <w:jc w:val="both"/>
      </w:pPr>
      <w:r>
        <w:t xml:space="preserve">Pojašnjenje dano kroz </w:t>
      </w:r>
      <w:proofErr w:type="spellStart"/>
      <w:r>
        <w:t>Izvanbilančni</w:t>
      </w:r>
      <w:proofErr w:type="spellEnd"/>
      <w:r>
        <w:t xml:space="preserve"> zapisi - aktiva (šifra 991).</w:t>
      </w:r>
    </w:p>
    <w:p w14:paraId="2B18A29A" w14:textId="77777777" w:rsidR="00422385" w:rsidRDefault="00422385" w:rsidP="00F20266">
      <w:pPr>
        <w:jc w:val="both"/>
      </w:pPr>
    </w:p>
    <w:p w14:paraId="6B22A70A" w14:textId="77777777" w:rsidR="00422385" w:rsidRDefault="00000000" w:rsidP="00F20266">
      <w:pPr>
        <w:keepNext/>
        <w:spacing w:line="240" w:lineRule="auto"/>
        <w:jc w:val="both"/>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1B95AB68" w14:textId="77777777">
        <w:trPr>
          <w:cantSplit/>
        </w:trPr>
        <w:tc>
          <w:tcPr>
            <w:tcW w:w="700" w:type="dxa"/>
            <w:shd w:val="clear" w:color="auto" w:fill="E7F0F9"/>
            <w:tcMar>
              <w:top w:w="0" w:type="dxa"/>
              <w:bottom w:w="0" w:type="dxa"/>
            </w:tcMar>
            <w:vAlign w:val="center"/>
          </w:tcPr>
          <w:p w14:paraId="2B6F1435"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670C8B"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F5921CA"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9720E6F" w14:textId="77777777" w:rsidR="00422385" w:rsidRDefault="00000000" w:rsidP="00F20266">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57A0A02C" w14:textId="77777777" w:rsidR="00422385" w:rsidRDefault="00000000" w:rsidP="00F20266">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482DAEBF" w14:textId="77777777" w:rsidR="00422385" w:rsidRDefault="00000000" w:rsidP="00F20266">
            <w:pPr>
              <w:keepNext/>
              <w:keepLines/>
              <w:spacing w:after="0" w:line="240" w:lineRule="auto"/>
              <w:jc w:val="both"/>
            </w:pPr>
            <w:r>
              <w:rPr>
                <w:b/>
                <w:sz w:val="18"/>
              </w:rPr>
              <w:t>Indeks (%)</w:t>
            </w:r>
          </w:p>
        </w:tc>
      </w:tr>
      <w:tr w:rsidR="00422385" w14:paraId="412B0B8D" w14:textId="77777777">
        <w:trPr>
          <w:cantSplit/>
          <w:trHeight w:val="560"/>
        </w:trPr>
        <w:tc>
          <w:tcPr>
            <w:tcW w:w="700" w:type="dxa"/>
            <w:tcMar>
              <w:top w:w="0" w:type="dxa"/>
              <w:bottom w:w="0" w:type="dxa"/>
            </w:tcMar>
            <w:vAlign w:val="center"/>
          </w:tcPr>
          <w:p w14:paraId="57DD7C56" w14:textId="77777777" w:rsidR="00422385" w:rsidRDefault="00000000" w:rsidP="00F20266">
            <w:pPr>
              <w:keepNext/>
              <w:keepLines/>
              <w:spacing w:after="0" w:line="240" w:lineRule="auto"/>
              <w:jc w:val="both"/>
            </w:pPr>
            <w:r>
              <w:rPr>
                <w:sz w:val="18"/>
              </w:rPr>
              <w:t>dio 16</w:t>
            </w:r>
          </w:p>
        </w:tc>
        <w:tc>
          <w:tcPr>
            <w:tcW w:w="3180" w:type="dxa"/>
            <w:tcMar>
              <w:top w:w="0" w:type="dxa"/>
              <w:bottom w:w="0" w:type="dxa"/>
            </w:tcMar>
            <w:vAlign w:val="center"/>
          </w:tcPr>
          <w:p w14:paraId="66F7DAFD" w14:textId="77777777" w:rsidR="00422385" w:rsidRDefault="00000000" w:rsidP="00F20266">
            <w:pPr>
              <w:keepNext/>
              <w:keepLines/>
              <w:spacing w:after="0" w:line="240" w:lineRule="auto"/>
              <w:jc w:val="both"/>
            </w:pPr>
            <w:r>
              <w:rPr>
                <w:sz w:val="18"/>
              </w:rPr>
              <w:t>Potraživanja za prihode poslovanja - dospjela</w:t>
            </w:r>
          </w:p>
        </w:tc>
        <w:tc>
          <w:tcPr>
            <w:tcW w:w="700" w:type="dxa"/>
            <w:tcMar>
              <w:top w:w="0" w:type="dxa"/>
              <w:bottom w:w="0" w:type="dxa"/>
            </w:tcMar>
            <w:vAlign w:val="center"/>
          </w:tcPr>
          <w:p w14:paraId="4D98FD64" w14:textId="77777777" w:rsidR="00422385" w:rsidRDefault="00000000" w:rsidP="00F20266">
            <w:pPr>
              <w:keepNext/>
              <w:keepLines/>
              <w:spacing w:after="0" w:line="240" w:lineRule="auto"/>
              <w:jc w:val="both"/>
            </w:pPr>
            <w:r>
              <w:rPr>
                <w:sz w:val="18"/>
              </w:rPr>
              <w:t>dio 16 D</w:t>
            </w:r>
          </w:p>
        </w:tc>
        <w:tc>
          <w:tcPr>
            <w:tcW w:w="1860" w:type="dxa"/>
            <w:tcMar>
              <w:top w:w="0" w:type="dxa"/>
              <w:bottom w:w="0" w:type="dxa"/>
            </w:tcMar>
            <w:vAlign w:val="center"/>
          </w:tcPr>
          <w:p w14:paraId="013DCB3C" w14:textId="77777777" w:rsidR="00422385" w:rsidRDefault="00000000" w:rsidP="00F20266">
            <w:pPr>
              <w:keepNext/>
              <w:keepLines/>
              <w:spacing w:after="0" w:line="240" w:lineRule="auto"/>
              <w:jc w:val="both"/>
            </w:pPr>
            <w:r>
              <w:rPr>
                <w:sz w:val="18"/>
              </w:rPr>
              <w:t>898.741,56</w:t>
            </w:r>
          </w:p>
        </w:tc>
        <w:tc>
          <w:tcPr>
            <w:tcW w:w="1860" w:type="dxa"/>
            <w:tcMar>
              <w:top w:w="0" w:type="dxa"/>
              <w:bottom w:w="0" w:type="dxa"/>
            </w:tcMar>
            <w:vAlign w:val="center"/>
          </w:tcPr>
          <w:p w14:paraId="3AAA7179" w14:textId="77777777" w:rsidR="00422385" w:rsidRDefault="00000000" w:rsidP="00F20266">
            <w:pPr>
              <w:keepNext/>
              <w:keepLines/>
              <w:spacing w:after="0" w:line="240" w:lineRule="auto"/>
              <w:jc w:val="both"/>
            </w:pPr>
            <w:r>
              <w:rPr>
                <w:sz w:val="18"/>
              </w:rPr>
              <w:t>996.925,39</w:t>
            </w:r>
          </w:p>
        </w:tc>
        <w:tc>
          <w:tcPr>
            <w:tcW w:w="700" w:type="dxa"/>
            <w:tcMar>
              <w:top w:w="0" w:type="dxa"/>
              <w:bottom w:w="0" w:type="dxa"/>
            </w:tcMar>
            <w:vAlign w:val="center"/>
          </w:tcPr>
          <w:p w14:paraId="37CFFD09" w14:textId="77777777" w:rsidR="00422385" w:rsidRDefault="00000000" w:rsidP="00F20266">
            <w:pPr>
              <w:keepNext/>
              <w:keepLines/>
              <w:spacing w:after="0" w:line="240" w:lineRule="auto"/>
              <w:jc w:val="both"/>
            </w:pPr>
            <w:r>
              <w:rPr>
                <w:sz w:val="18"/>
              </w:rPr>
              <w:t>110,9</w:t>
            </w:r>
          </w:p>
        </w:tc>
      </w:tr>
    </w:tbl>
    <w:p w14:paraId="2B66EC6D" w14:textId="77777777" w:rsidR="00422385" w:rsidRDefault="00422385" w:rsidP="00F20266">
      <w:pPr>
        <w:spacing w:after="0"/>
        <w:jc w:val="both"/>
      </w:pPr>
    </w:p>
    <w:p w14:paraId="2688E106" w14:textId="77777777" w:rsidR="00422385" w:rsidRDefault="00000000" w:rsidP="00F20266">
      <w:pPr>
        <w:jc w:val="both"/>
      </w:pPr>
      <w:r>
        <w:t>Potraživanja za prihode poslovanja - dospjela (dio 16 D) na kraju izvještajnog razdoblja iznose 996.925,39 EUR što predstavlja povećanje za 10,9% u odnosu na prethodnu 2024. godinu kad su potraživanja iznosila 898.741,56 EUR.</w:t>
      </w:r>
    </w:p>
    <w:p w14:paraId="6C2D6B55" w14:textId="05C7C516" w:rsidR="00422385" w:rsidRDefault="00000000" w:rsidP="00F20266">
      <w:pPr>
        <w:jc w:val="both"/>
      </w:pPr>
      <w:r>
        <w:t>Dospjela potraživanja za prihode poslovanja obu</w:t>
      </w:r>
      <w:r w:rsidR="00153826">
        <w:t>h</w:t>
      </w:r>
      <w:r>
        <w:t>vaćaju slijedeće prihode u iznosima kako slijede: </w:t>
      </w:r>
    </w:p>
    <w:p w14:paraId="257B9903" w14:textId="77777777" w:rsidR="00422385" w:rsidRDefault="00000000" w:rsidP="00F20266">
      <w:pPr>
        <w:pStyle w:val="Odlomakpopisa"/>
        <w:numPr>
          <w:ilvl w:val="0"/>
          <w:numId w:val="1"/>
        </w:numPr>
        <w:jc w:val="both"/>
      </w:pPr>
      <w:r>
        <w:t>potraživanja za poreze u iznosu od 227.304,18 EUR</w:t>
      </w:r>
    </w:p>
    <w:p w14:paraId="11A9C8C2" w14:textId="77777777" w:rsidR="00422385" w:rsidRDefault="00000000" w:rsidP="00F20266">
      <w:pPr>
        <w:pStyle w:val="Odlomakpopisa"/>
        <w:numPr>
          <w:ilvl w:val="0"/>
          <w:numId w:val="1"/>
        </w:numPr>
        <w:jc w:val="both"/>
      </w:pPr>
      <w:r>
        <w:t>potraživanja za prihode od imovine u iznosu od 315.431,05 EUR</w:t>
      </w:r>
    </w:p>
    <w:p w14:paraId="39876496" w14:textId="77777777" w:rsidR="00422385" w:rsidRDefault="00000000" w:rsidP="00F20266">
      <w:pPr>
        <w:pStyle w:val="Odlomakpopisa"/>
        <w:numPr>
          <w:ilvl w:val="0"/>
          <w:numId w:val="1"/>
        </w:numPr>
        <w:jc w:val="both"/>
      </w:pPr>
      <w:r>
        <w:t>potraživanja za upravne i administrativne pristojbe u iznosu od 446.931,49 EUR</w:t>
      </w:r>
    </w:p>
    <w:p w14:paraId="1A2AAB7B" w14:textId="77777777" w:rsidR="00422385" w:rsidRDefault="00000000" w:rsidP="00F20266">
      <w:pPr>
        <w:pStyle w:val="Odlomakpopisa"/>
        <w:numPr>
          <w:ilvl w:val="0"/>
          <w:numId w:val="1"/>
        </w:numPr>
        <w:jc w:val="both"/>
      </w:pPr>
      <w:r>
        <w:t>potraživanja za prihode od prodaje proizvoda i robe u iznosu od 7.258,67 EUR.</w:t>
      </w:r>
    </w:p>
    <w:p w14:paraId="7201511E" w14:textId="77777777" w:rsidR="00422385" w:rsidRDefault="00422385" w:rsidP="00F20266">
      <w:pPr>
        <w:jc w:val="both"/>
      </w:pPr>
    </w:p>
    <w:p w14:paraId="3791D805" w14:textId="77777777" w:rsidR="00422385" w:rsidRDefault="00000000" w:rsidP="00F20266">
      <w:pPr>
        <w:keepNext/>
        <w:spacing w:line="240" w:lineRule="auto"/>
        <w:jc w:val="both"/>
      </w:pPr>
      <w:r>
        <w:rPr>
          <w:sz w:val="28"/>
        </w:rPr>
        <w:lastRenderedPageBreak/>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1BB1F90B" w14:textId="77777777">
        <w:trPr>
          <w:cantSplit/>
        </w:trPr>
        <w:tc>
          <w:tcPr>
            <w:tcW w:w="700" w:type="dxa"/>
            <w:shd w:val="clear" w:color="auto" w:fill="E7F0F9"/>
            <w:tcMar>
              <w:top w:w="0" w:type="dxa"/>
              <w:bottom w:w="0" w:type="dxa"/>
            </w:tcMar>
            <w:vAlign w:val="center"/>
          </w:tcPr>
          <w:p w14:paraId="711915D9"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682475"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84B9BCF"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7A51EFA" w14:textId="77777777" w:rsidR="00422385" w:rsidRDefault="00000000" w:rsidP="00F20266">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24A2414D" w14:textId="77777777" w:rsidR="00422385" w:rsidRDefault="00000000" w:rsidP="00F20266">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7FAFF0B3" w14:textId="77777777" w:rsidR="00422385" w:rsidRDefault="00000000" w:rsidP="00F20266">
            <w:pPr>
              <w:keepNext/>
              <w:keepLines/>
              <w:spacing w:after="0" w:line="240" w:lineRule="auto"/>
              <w:jc w:val="both"/>
            </w:pPr>
            <w:r>
              <w:rPr>
                <w:b/>
                <w:sz w:val="18"/>
              </w:rPr>
              <w:t>Indeks (%)</w:t>
            </w:r>
          </w:p>
        </w:tc>
      </w:tr>
      <w:tr w:rsidR="00422385" w14:paraId="3D16D923" w14:textId="77777777">
        <w:trPr>
          <w:cantSplit/>
          <w:trHeight w:val="560"/>
        </w:trPr>
        <w:tc>
          <w:tcPr>
            <w:tcW w:w="700" w:type="dxa"/>
            <w:tcMar>
              <w:top w:w="0" w:type="dxa"/>
              <w:bottom w:w="0" w:type="dxa"/>
            </w:tcMar>
            <w:vAlign w:val="center"/>
          </w:tcPr>
          <w:p w14:paraId="15ABD1C6" w14:textId="77777777" w:rsidR="00422385" w:rsidRDefault="00000000" w:rsidP="00F20266">
            <w:pPr>
              <w:keepNext/>
              <w:keepLines/>
              <w:spacing w:after="0" w:line="240" w:lineRule="auto"/>
              <w:jc w:val="both"/>
            </w:pPr>
            <w:r>
              <w:rPr>
                <w:sz w:val="18"/>
              </w:rPr>
              <w:t>dio 16</w:t>
            </w:r>
          </w:p>
        </w:tc>
        <w:tc>
          <w:tcPr>
            <w:tcW w:w="3180" w:type="dxa"/>
            <w:tcMar>
              <w:top w:w="0" w:type="dxa"/>
              <w:bottom w:w="0" w:type="dxa"/>
            </w:tcMar>
            <w:vAlign w:val="center"/>
          </w:tcPr>
          <w:p w14:paraId="7B9B43EF" w14:textId="77777777" w:rsidR="00422385" w:rsidRDefault="00000000" w:rsidP="00F20266">
            <w:pPr>
              <w:keepNext/>
              <w:keepLines/>
              <w:spacing w:after="0" w:line="240" w:lineRule="auto"/>
              <w:jc w:val="both"/>
            </w:pPr>
            <w:r>
              <w:rPr>
                <w:sz w:val="18"/>
              </w:rPr>
              <w:t>Potraživanja za prihode poslovanja - nedospjela</w:t>
            </w:r>
          </w:p>
        </w:tc>
        <w:tc>
          <w:tcPr>
            <w:tcW w:w="700" w:type="dxa"/>
            <w:tcMar>
              <w:top w:w="0" w:type="dxa"/>
              <w:bottom w:w="0" w:type="dxa"/>
            </w:tcMar>
            <w:vAlign w:val="center"/>
          </w:tcPr>
          <w:p w14:paraId="0E8A3212" w14:textId="77777777" w:rsidR="00422385" w:rsidRDefault="00000000" w:rsidP="00F20266">
            <w:pPr>
              <w:keepNext/>
              <w:keepLines/>
              <w:spacing w:after="0" w:line="240" w:lineRule="auto"/>
              <w:jc w:val="both"/>
            </w:pPr>
            <w:r>
              <w:rPr>
                <w:sz w:val="18"/>
              </w:rPr>
              <w:t>dio 16 N</w:t>
            </w:r>
          </w:p>
        </w:tc>
        <w:tc>
          <w:tcPr>
            <w:tcW w:w="1860" w:type="dxa"/>
            <w:tcMar>
              <w:top w:w="0" w:type="dxa"/>
              <w:bottom w:w="0" w:type="dxa"/>
            </w:tcMar>
            <w:vAlign w:val="center"/>
          </w:tcPr>
          <w:p w14:paraId="66AF94F5" w14:textId="77777777" w:rsidR="00422385" w:rsidRDefault="00000000" w:rsidP="00F20266">
            <w:pPr>
              <w:keepNext/>
              <w:keepLines/>
              <w:spacing w:after="0" w:line="240" w:lineRule="auto"/>
              <w:jc w:val="both"/>
            </w:pPr>
            <w:r>
              <w:rPr>
                <w:sz w:val="18"/>
              </w:rPr>
              <w:t>15.526,38</w:t>
            </w:r>
          </w:p>
        </w:tc>
        <w:tc>
          <w:tcPr>
            <w:tcW w:w="1860" w:type="dxa"/>
            <w:tcMar>
              <w:top w:w="0" w:type="dxa"/>
              <w:bottom w:w="0" w:type="dxa"/>
            </w:tcMar>
            <w:vAlign w:val="center"/>
          </w:tcPr>
          <w:p w14:paraId="78F27296" w14:textId="77777777" w:rsidR="00422385" w:rsidRDefault="00000000" w:rsidP="00F20266">
            <w:pPr>
              <w:keepNext/>
              <w:keepLines/>
              <w:spacing w:after="0" w:line="240" w:lineRule="auto"/>
              <w:jc w:val="both"/>
            </w:pPr>
            <w:r>
              <w:rPr>
                <w:sz w:val="18"/>
              </w:rPr>
              <w:t>58.527,50</w:t>
            </w:r>
          </w:p>
        </w:tc>
        <w:tc>
          <w:tcPr>
            <w:tcW w:w="700" w:type="dxa"/>
            <w:tcMar>
              <w:top w:w="0" w:type="dxa"/>
              <w:bottom w:w="0" w:type="dxa"/>
            </w:tcMar>
            <w:vAlign w:val="center"/>
          </w:tcPr>
          <w:p w14:paraId="0822E0CD" w14:textId="77777777" w:rsidR="00422385" w:rsidRDefault="00000000" w:rsidP="00F20266">
            <w:pPr>
              <w:keepNext/>
              <w:keepLines/>
              <w:spacing w:after="0" w:line="240" w:lineRule="auto"/>
              <w:jc w:val="both"/>
            </w:pPr>
            <w:r>
              <w:rPr>
                <w:sz w:val="18"/>
              </w:rPr>
              <w:t>377,0</w:t>
            </w:r>
          </w:p>
        </w:tc>
      </w:tr>
    </w:tbl>
    <w:p w14:paraId="3094E430" w14:textId="77777777" w:rsidR="00422385" w:rsidRDefault="00422385" w:rsidP="00F20266">
      <w:pPr>
        <w:spacing w:after="0"/>
        <w:jc w:val="both"/>
      </w:pPr>
    </w:p>
    <w:p w14:paraId="5B02E26C" w14:textId="77777777" w:rsidR="00422385" w:rsidRDefault="00000000" w:rsidP="00F20266">
      <w:pPr>
        <w:jc w:val="both"/>
      </w:pPr>
      <w:r>
        <w:t>Potraživanja za prihode poslovanja - nedospjela (dio 16N) na kraju izvještajnog razdoblja iznose 58.527,50 EUR odnosno 277% više u odnosu na 2024. godinu.</w:t>
      </w:r>
    </w:p>
    <w:p w14:paraId="18B53309" w14:textId="77777777" w:rsidR="00422385" w:rsidRDefault="00000000" w:rsidP="00F20266">
      <w:pPr>
        <w:jc w:val="both"/>
      </w:pPr>
      <w:r>
        <w:t>Razlog povećanja nedospjelih potraživanja za prihode poslovanja je povećani broj izdanih rješenja za komunalni doprinos i obračunatih komunalnih doprinosa (kojih u 2024. godini bilo jako malo).</w:t>
      </w:r>
    </w:p>
    <w:p w14:paraId="7A73A606" w14:textId="77777777" w:rsidR="00422385" w:rsidRDefault="00422385" w:rsidP="00F20266">
      <w:pPr>
        <w:jc w:val="both"/>
      </w:pPr>
    </w:p>
    <w:p w14:paraId="41B53881" w14:textId="77777777" w:rsidR="00422385" w:rsidRDefault="00000000" w:rsidP="00F20266">
      <w:pPr>
        <w:keepNext/>
        <w:spacing w:line="240" w:lineRule="auto"/>
        <w:jc w:val="both"/>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227F5E87" w14:textId="77777777">
        <w:trPr>
          <w:cantSplit/>
        </w:trPr>
        <w:tc>
          <w:tcPr>
            <w:tcW w:w="700" w:type="dxa"/>
            <w:shd w:val="clear" w:color="auto" w:fill="E7F0F9"/>
            <w:tcMar>
              <w:top w:w="0" w:type="dxa"/>
              <w:bottom w:w="0" w:type="dxa"/>
            </w:tcMar>
            <w:vAlign w:val="center"/>
          </w:tcPr>
          <w:p w14:paraId="60457E4F"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0B878C"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65BE074"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DBE6669" w14:textId="77777777" w:rsidR="00422385" w:rsidRDefault="00000000" w:rsidP="00F20266">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5C6B7A52" w14:textId="77777777" w:rsidR="00422385" w:rsidRDefault="00000000" w:rsidP="00F20266">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22409420" w14:textId="77777777" w:rsidR="00422385" w:rsidRDefault="00000000" w:rsidP="00F20266">
            <w:pPr>
              <w:keepNext/>
              <w:keepLines/>
              <w:spacing w:after="0" w:line="240" w:lineRule="auto"/>
              <w:jc w:val="both"/>
            </w:pPr>
            <w:r>
              <w:rPr>
                <w:b/>
                <w:sz w:val="18"/>
              </w:rPr>
              <w:t>Indeks (%)</w:t>
            </w:r>
          </w:p>
        </w:tc>
      </w:tr>
      <w:tr w:rsidR="00422385" w14:paraId="7B7EEE77" w14:textId="77777777">
        <w:trPr>
          <w:cantSplit/>
          <w:trHeight w:val="560"/>
        </w:trPr>
        <w:tc>
          <w:tcPr>
            <w:tcW w:w="700" w:type="dxa"/>
            <w:tcMar>
              <w:top w:w="0" w:type="dxa"/>
              <w:bottom w:w="0" w:type="dxa"/>
            </w:tcMar>
            <w:vAlign w:val="center"/>
          </w:tcPr>
          <w:p w14:paraId="0B5A1ECA" w14:textId="77777777" w:rsidR="00422385" w:rsidRDefault="00000000" w:rsidP="00F20266">
            <w:pPr>
              <w:keepNext/>
              <w:keepLines/>
              <w:spacing w:after="0" w:line="240" w:lineRule="auto"/>
              <w:jc w:val="both"/>
            </w:pPr>
            <w:r>
              <w:rPr>
                <w:sz w:val="18"/>
              </w:rPr>
              <w:t>99621</w:t>
            </w:r>
          </w:p>
        </w:tc>
        <w:tc>
          <w:tcPr>
            <w:tcW w:w="3180" w:type="dxa"/>
            <w:tcMar>
              <w:top w:w="0" w:type="dxa"/>
              <w:bottom w:w="0" w:type="dxa"/>
            </w:tcMar>
            <w:vAlign w:val="center"/>
          </w:tcPr>
          <w:p w14:paraId="1B5BD246" w14:textId="77777777" w:rsidR="00422385" w:rsidRDefault="00000000" w:rsidP="00F20266">
            <w:pPr>
              <w:keepNext/>
              <w:keepLines/>
              <w:spacing w:after="0" w:line="240" w:lineRule="auto"/>
              <w:jc w:val="both"/>
            </w:pPr>
            <w:r>
              <w:rPr>
                <w:sz w:val="18"/>
              </w:rPr>
              <w:t>Potencijalne obveze po danim jamstvima</w:t>
            </w:r>
          </w:p>
        </w:tc>
        <w:tc>
          <w:tcPr>
            <w:tcW w:w="700" w:type="dxa"/>
            <w:tcMar>
              <w:top w:w="0" w:type="dxa"/>
              <w:bottom w:w="0" w:type="dxa"/>
            </w:tcMar>
            <w:vAlign w:val="center"/>
          </w:tcPr>
          <w:p w14:paraId="2C9E8552" w14:textId="77777777" w:rsidR="00422385" w:rsidRDefault="00000000" w:rsidP="00F20266">
            <w:pPr>
              <w:keepNext/>
              <w:keepLines/>
              <w:spacing w:after="0" w:line="240" w:lineRule="auto"/>
              <w:jc w:val="both"/>
            </w:pPr>
            <w:r>
              <w:rPr>
                <w:sz w:val="18"/>
              </w:rPr>
              <w:t>99621</w:t>
            </w:r>
          </w:p>
        </w:tc>
        <w:tc>
          <w:tcPr>
            <w:tcW w:w="1860" w:type="dxa"/>
            <w:tcMar>
              <w:top w:w="0" w:type="dxa"/>
              <w:bottom w:w="0" w:type="dxa"/>
            </w:tcMar>
            <w:vAlign w:val="center"/>
          </w:tcPr>
          <w:p w14:paraId="586D75FA" w14:textId="77777777" w:rsidR="00422385" w:rsidRDefault="00000000" w:rsidP="00F20266">
            <w:pPr>
              <w:keepNext/>
              <w:keepLines/>
              <w:spacing w:after="0" w:line="240" w:lineRule="auto"/>
              <w:jc w:val="both"/>
            </w:pPr>
            <w:r>
              <w:rPr>
                <w:sz w:val="18"/>
              </w:rPr>
              <w:t>185.811,93</w:t>
            </w:r>
          </w:p>
        </w:tc>
        <w:tc>
          <w:tcPr>
            <w:tcW w:w="1860" w:type="dxa"/>
            <w:tcMar>
              <w:top w:w="0" w:type="dxa"/>
              <w:bottom w:w="0" w:type="dxa"/>
            </w:tcMar>
            <w:vAlign w:val="center"/>
          </w:tcPr>
          <w:p w14:paraId="7A53D3D4" w14:textId="77777777" w:rsidR="00422385" w:rsidRDefault="00000000" w:rsidP="00F20266">
            <w:pPr>
              <w:keepNext/>
              <w:keepLines/>
              <w:spacing w:after="0" w:line="240" w:lineRule="auto"/>
              <w:jc w:val="both"/>
            </w:pPr>
            <w:r>
              <w:rPr>
                <w:sz w:val="18"/>
              </w:rPr>
              <w:t>5.775.811,93</w:t>
            </w:r>
          </w:p>
        </w:tc>
        <w:tc>
          <w:tcPr>
            <w:tcW w:w="700" w:type="dxa"/>
            <w:tcMar>
              <w:top w:w="0" w:type="dxa"/>
              <w:bottom w:w="0" w:type="dxa"/>
            </w:tcMar>
            <w:vAlign w:val="center"/>
          </w:tcPr>
          <w:p w14:paraId="7CF26E50" w14:textId="77777777" w:rsidR="00422385" w:rsidRDefault="00000000" w:rsidP="00F20266">
            <w:pPr>
              <w:keepNext/>
              <w:keepLines/>
              <w:spacing w:after="0" w:line="240" w:lineRule="auto"/>
              <w:jc w:val="both"/>
            </w:pPr>
            <w:r>
              <w:rPr>
                <w:sz w:val="18"/>
              </w:rPr>
              <w:t>3108,4</w:t>
            </w:r>
          </w:p>
        </w:tc>
      </w:tr>
    </w:tbl>
    <w:p w14:paraId="4F8F51BA" w14:textId="77777777" w:rsidR="00422385" w:rsidRDefault="00422385" w:rsidP="00F20266">
      <w:pPr>
        <w:spacing w:after="0"/>
        <w:jc w:val="both"/>
      </w:pPr>
    </w:p>
    <w:p w14:paraId="483F2835" w14:textId="77777777" w:rsidR="00422385" w:rsidRDefault="00000000" w:rsidP="00F20266">
      <w:pPr>
        <w:jc w:val="both"/>
      </w:pPr>
      <w:r>
        <w:t>Potencijalne obveze po danim jamstvima (šifra 99621) na kraju izvještajnog razdoblja iznose 5.775.811,93 EUR što čini povećanje od 3008,4% u odnosu na prethodnu godinu.</w:t>
      </w:r>
    </w:p>
    <w:p w14:paraId="39F658B7" w14:textId="77777777" w:rsidR="00422385" w:rsidRDefault="00000000" w:rsidP="00F20266">
      <w:pPr>
        <w:jc w:val="both"/>
      </w:pPr>
      <w:r>
        <w:t>Potencijalne obveze po danim jamstvima pojašnjeno kroz šifru 9916.</w:t>
      </w:r>
    </w:p>
    <w:p w14:paraId="3AB627B1" w14:textId="77777777" w:rsidR="00422385" w:rsidRDefault="00422385" w:rsidP="00F20266">
      <w:pPr>
        <w:jc w:val="both"/>
      </w:pPr>
    </w:p>
    <w:p w14:paraId="791D8884" w14:textId="77777777" w:rsidR="00422385" w:rsidRDefault="00000000" w:rsidP="00F20266">
      <w:pPr>
        <w:keepNext/>
        <w:spacing w:line="240" w:lineRule="auto"/>
        <w:jc w:val="both"/>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492F2953" w14:textId="77777777">
        <w:trPr>
          <w:cantSplit/>
        </w:trPr>
        <w:tc>
          <w:tcPr>
            <w:tcW w:w="700" w:type="dxa"/>
            <w:shd w:val="clear" w:color="auto" w:fill="E7F0F9"/>
            <w:tcMar>
              <w:top w:w="0" w:type="dxa"/>
              <w:bottom w:w="0" w:type="dxa"/>
            </w:tcMar>
            <w:vAlign w:val="center"/>
          </w:tcPr>
          <w:p w14:paraId="7D0B1A46"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FBE60B"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3B4FC27"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13A3AEF" w14:textId="77777777" w:rsidR="00422385" w:rsidRDefault="00000000" w:rsidP="00F20266">
            <w:pPr>
              <w:keepNext/>
              <w:keepLines/>
              <w:spacing w:after="0" w:line="240" w:lineRule="auto"/>
              <w:jc w:val="both"/>
            </w:pPr>
            <w:r>
              <w:rPr>
                <w:b/>
                <w:sz w:val="18"/>
              </w:rPr>
              <w:t>Stanje 1. siječnja</w:t>
            </w:r>
          </w:p>
        </w:tc>
        <w:tc>
          <w:tcPr>
            <w:tcW w:w="1860" w:type="dxa"/>
            <w:shd w:val="clear" w:color="auto" w:fill="E7F0F9"/>
            <w:tcMar>
              <w:top w:w="0" w:type="dxa"/>
              <w:bottom w:w="0" w:type="dxa"/>
            </w:tcMar>
            <w:vAlign w:val="center"/>
          </w:tcPr>
          <w:p w14:paraId="71F3C9B3" w14:textId="77777777" w:rsidR="00422385" w:rsidRDefault="00000000" w:rsidP="00F20266">
            <w:pPr>
              <w:keepNext/>
              <w:keepLines/>
              <w:spacing w:after="0" w:line="240" w:lineRule="auto"/>
              <w:jc w:val="both"/>
            </w:pPr>
            <w:r>
              <w:rPr>
                <w:b/>
                <w:sz w:val="18"/>
              </w:rPr>
              <w:t>Stanje 31. prosinca</w:t>
            </w:r>
          </w:p>
        </w:tc>
        <w:tc>
          <w:tcPr>
            <w:tcW w:w="700" w:type="dxa"/>
            <w:shd w:val="clear" w:color="auto" w:fill="E7F0F9"/>
            <w:tcMar>
              <w:top w:w="0" w:type="dxa"/>
              <w:bottom w:w="0" w:type="dxa"/>
            </w:tcMar>
            <w:vAlign w:val="center"/>
          </w:tcPr>
          <w:p w14:paraId="308DC0EE" w14:textId="77777777" w:rsidR="00422385" w:rsidRDefault="00000000" w:rsidP="00F20266">
            <w:pPr>
              <w:keepNext/>
              <w:keepLines/>
              <w:spacing w:after="0" w:line="240" w:lineRule="auto"/>
              <w:jc w:val="both"/>
            </w:pPr>
            <w:r>
              <w:rPr>
                <w:b/>
                <w:sz w:val="18"/>
              </w:rPr>
              <w:t>Indeks (%)</w:t>
            </w:r>
          </w:p>
        </w:tc>
      </w:tr>
      <w:tr w:rsidR="00422385" w14:paraId="4CA2A83E" w14:textId="77777777">
        <w:trPr>
          <w:cantSplit/>
          <w:trHeight w:val="560"/>
        </w:trPr>
        <w:tc>
          <w:tcPr>
            <w:tcW w:w="700" w:type="dxa"/>
            <w:tcMar>
              <w:top w:w="0" w:type="dxa"/>
              <w:bottom w:w="0" w:type="dxa"/>
            </w:tcMar>
            <w:vAlign w:val="center"/>
          </w:tcPr>
          <w:p w14:paraId="31513E34" w14:textId="77777777" w:rsidR="00422385" w:rsidRDefault="00000000" w:rsidP="00F20266">
            <w:pPr>
              <w:keepNext/>
              <w:keepLines/>
              <w:spacing w:after="0" w:line="240" w:lineRule="auto"/>
              <w:jc w:val="both"/>
            </w:pPr>
            <w:r>
              <w:rPr>
                <w:sz w:val="18"/>
              </w:rPr>
              <w:t>99652</w:t>
            </w:r>
          </w:p>
        </w:tc>
        <w:tc>
          <w:tcPr>
            <w:tcW w:w="3180" w:type="dxa"/>
            <w:tcMar>
              <w:top w:w="0" w:type="dxa"/>
              <w:bottom w:w="0" w:type="dxa"/>
            </w:tcMar>
            <w:vAlign w:val="center"/>
          </w:tcPr>
          <w:p w14:paraId="14CC1DB2" w14:textId="77777777" w:rsidR="00422385" w:rsidRDefault="00000000" w:rsidP="00F20266">
            <w:pPr>
              <w:keepNext/>
              <w:keepLines/>
              <w:spacing w:after="0" w:line="240" w:lineRule="auto"/>
              <w:jc w:val="both"/>
            </w:pPr>
            <w:r>
              <w:rPr>
                <w:sz w:val="18"/>
              </w:rPr>
              <w:t>Preuzete obveze po ugovorima o nabavi roba, radova i usluga</w:t>
            </w:r>
          </w:p>
        </w:tc>
        <w:tc>
          <w:tcPr>
            <w:tcW w:w="700" w:type="dxa"/>
            <w:tcMar>
              <w:top w:w="0" w:type="dxa"/>
              <w:bottom w:w="0" w:type="dxa"/>
            </w:tcMar>
            <w:vAlign w:val="center"/>
          </w:tcPr>
          <w:p w14:paraId="759BF01B" w14:textId="77777777" w:rsidR="00422385" w:rsidRDefault="00000000" w:rsidP="00F20266">
            <w:pPr>
              <w:keepNext/>
              <w:keepLines/>
              <w:spacing w:after="0" w:line="240" w:lineRule="auto"/>
              <w:jc w:val="both"/>
            </w:pPr>
            <w:r>
              <w:rPr>
                <w:sz w:val="18"/>
              </w:rPr>
              <w:t>99652</w:t>
            </w:r>
          </w:p>
        </w:tc>
        <w:tc>
          <w:tcPr>
            <w:tcW w:w="1860" w:type="dxa"/>
            <w:tcMar>
              <w:top w:w="0" w:type="dxa"/>
              <w:bottom w:w="0" w:type="dxa"/>
            </w:tcMar>
            <w:vAlign w:val="center"/>
          </w:tcPr>
          <w:p w14:paraId="7A572FB8" w14:textId="77777777" w:rsidR="00422385" w:rsidRDefault="00000000" w:rsidP="00F20266">
            <w:pPr>
              <w:keepNext/>
              <w:keepLines/>
              <w:spacing w:after="0" w:line="240" w:lineRule="auto"/>
              <w:jc w:val="both"/>
            </w:pPr>
            <w:r>
              <w:rPr>
                <w:sz w:val="18"/>
              </w:rPr>
              <w:t>220.666,48</w:t>
            </w:r>
          </w:p>
        </w:tc>
        <w:tc>
          <w:tcPr>
            <w:tcW w:w="1860" w:type="dxa"/>
            <w:tcMar>
              <w:top w:w="0" w:type="dxa"/>
              <w:bottom w:w="0" w:type="dxa"/>
            </w:tcMar>
            <w:vAlign w:val="center"/>
          </w:tcPr>
          <w:p w14:paraId="7DCEA60B" w14:textId="77777777" w:rsidR="00422385" w:rsidRDefault="00000000" w:rsidP="00F20266">
            <w:pPr>
              <w:keepNext/>
              <w:keepLines/>
              <w:spacing w:after="0" w:line="240" w:lineRule="auto"/>
              <w:jc w:val="both"/>
            </w:pPr>
            <w:r>
              <w:rPr>
                <w:sz w:val="18"/>
              </w:rPr>
              <w:t>941.641,58</w:t>
            </w:r>
          </w:p>
        </w:tc>
        <w:tc>
          <w:tcPr>
            <w:tcW w:w="700" w:type="dxa"/>
            <w:tcMar>
              <w:top w:w="0" w:type="dxa"/>
              <w:bottom w:w="0" w:type="dxa"/>
            </w:tcMar>
            <w:vAlign w:val="center"/>
          </w:tcPr>
          <w:p w14:paraId="7BC4EC1A" w14:textId="77777777" w:rsidR="00422385" w:rsidRDefault="00000000" w:rsidP="00F20266">
            <w:pPr>
              <w:keepNext/>
              <w:keepLines/>
              <w:spacing w:after="0" w:line="240" w:lineRule="auto"/>
              <w:jc w:val="both"/>
            </w:pPr>
            <w:r>
              <w:rPr>
                <w:sz w:val="18"/>
              </w:rPr>
              <w:t>426,7</w:t>
            </w:r>
          </w:p>
        </w:tc>
      </w:tr>
    </w:tbl>
    <w:p w14:paraId="171D23AC" w14:textId="77777777" w:rsidR="00422385" w:rsidRDefault="00422385" w:rsidP="00F20266">
      <w:pPr>
        <w:spacing w:after="0"/>
        <w:jc w:val="both"/>
      </w:pPr>
    </w:p>
    <w:p w14:paraId="53EE4C75" w14:textId="77777777" w:rsidR="00422385" w:rsidRDefault="00000000" w:rsidP="00F20266">
      <w:pPr>
        <w:jc w:val="both"/>
      </w:pPr>
      <w:r>
        <w:t>Preuzete obveze po ugovorima o nabavi roba, radova i usluga (šifra 99652) na kraju izvještajnog razdoblja iznose 941.641,58 EUR odnosno 326,7% više u odnosu na 2024. godinu.</w:t>
      </w:r>
    </w:p>
    <w:p w14:paraId="77F80F93" w14:textId="77777777" w:rsidR="00422385" w:rsidRDefault="00000000" w:rsidP="00F20266">
      <w:pPr>
        <w:jc w:val="both"/>
      </w:pPr>
      <w:r>
        <w:t>Pojašnjenje kroz bilješke na šifri 991.</w:t>
      </w:r>
    </w:p>
    <w:p w14:paraId="027A69E6" w14:textId="77777777" w:rsidR="00422385" w:rsidRDefault="00422385" w:rsidP="00F20266">
      <w:pPr>
        <w:jc w:val="both"/>
      </w:pPr>
    </w:p>
    <w:p w14:paraId="2D3D5AD2" w14:textId="77777777" w:rsidR="00422385" w:rsidRDefault="00000000" w:rsidP="00F20266">
      <w:pPr>
        <w:keepNext/>
        <w:spacing w:line="240" w:lineRule="auto"/>
        <w:jc w:val="both"/>
      </w:pPr>
      <w:r>
        <w:rPr>
          <w:b/>
          <w:sz w:val="28"/>
        </w:rPr>
        <w:lastRenderedPageBreak/>
        <w:t>Izvještaj o rashodima prema funkcijskoj klasifikaciji</w:t>
      </w:r>
    </w:p>
    <w:p w14:paraId="25D201F6" w14:textId="77777777" w:rsidR="00422385" w:rsidRDefault="00000000" w:rsidP="00F20266">
      <w:pPr>
        <w:keepNext/>
        <w:spacing w:line="240" w:lineRule="auto"/>
        <w:jc w:val="both"/>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2452F5A7" w14:textId="77777777">
        <w:trPr>
          <w:cantSplit/>
        </w:trPr>
        <w:tc>
          <w:tcPr>
            <w:tcW w:w="700" w:type="dxa"/>
            <w:shd w:val="clear" w:color="auto" w:fill="E7F0F9"/>
            <w:tcMar>
              <w:top w:w="0" w:type="dxa"/>
              <w:bottom w:w="0" w:type="dxa"/>
            </w:tcMar>
            <w:vAlign w:val="center"/>
          </w:tcPr>
          <w:p w14:paraId="04A1F26B"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DDA140"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87FFECB"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15EBD30" w14:textId="77777777" w:rsidR="00422385" w:rsidRDefault="00000000" w:rsidP="00F20266">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A8CB5A1" w14:textId="77777777" w:rsidR="00422385" w:rsidRDefault="00000000" w:rsidP="00F20266">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53209723" w14:textId="77777777" w:rsidR="00422385" w:rsidRDefault="00000000" w:rsidP="00F20266">
            <w:pPr>
              <w:keepNext/>
              <w:keepLines/>
              <w:spacing w:after="0" w:line="240" w:lineRule="auto"/>
              <w:jc w:val="both"/>
            </w:pPr>
            <w:r>
              <w:rPr>
                <w:b/>
                <w:sz w:val="18"/>
              </w:rPr>
              <w:t>Indeks (%)</w:t>
            </w:r>
          </w:p>
        </w:tc>
      </w:tr>
      <w:tr w:rsidR="00422385" w14:paraId="289DE3FA" w14:textId="77777777">
        <w:trPr>
          <w:cantSplit/>
          <w:trHeight w:val="560"/>
        </w:trPr>
        <w:tc>
          <w:tcPr>
            <w:tcW w:w="700" w:type="dxa"/>
            <w:tcMar>
              <w:top w:w="0" w:type="dxa"/>
              <w:bottom w:w="0" w:type="dxa"/>
            </w:tcMar>
            <w:vAlign w:val="center"/>
          </w:tcPr>
          <w:p w14:paraId="1DA6DCA4" w14:textId="77777777" w:rsidR="00422385" w:rsidRDefault="00000000" w:rsidP="00F20266">
            <w:pPr>
              <w:keepNext/>
              <w:keepLines/>
              <w:spacing w:after="0" w:line="240" w:lineRule="auto"/>
              <w:jc w:val="both"/>
            </w:pPr>
            <w:r>
              <w:rPr>
                <w:sz w:val="18"/>
              </w:rPr>
              <w:t>01</w:t>
            </w:r>
          </w:p>
        </w:tc>
        <w:tc>
          <w:tcPr>
            <w:tcW w:w="3180" w:type="dxa"/>
            <w:tcMar>
              <w:top w:w="0" w:type="dxa"/>
              <w:bottom w:w="0" w:type="dxa"/>
            </w:tcMar>
            <w:vAlign w:val="center"/>
          </w:tcPr>
          <w:p w14:paraId="256B324E" w14:textId="77777777" w:rsidR="00422385" w:rsidRDefault="00000000" w:rsidP="00F20266">
            <w:pPr>
              <w:keepNext/>
              <w:keepLines/>
              <w:spacing w:after="0" w:line="240" w:lineRule="auto"/>
              <w:jc w:val="both"/>
            </w:pPr>
            <w:r>
              <w:rPr>
                <w:sz w:val="18"/>
              </w:rPr>
              <w:t>Opće javne usluge (šifre 011+012+013+014 do 018)</w:t>
            </w:r>
          </w:p>
        </w:tc>
        <w:tc>
          <w:tcPr>
            <w:tcW w:w="700" w:type="dxa"/>
            <w:tcMar>
              <w:top w:w="0" w:type="dxa"/>
              <w:bottom w:w="0" w:type="dxa"/>
            </w:tcMar>
            <w:vAlign w:val="center"/>
          </w:tcPr>
          <w:p w14:paraId="1C75B30E" w14:textId="77777777" w:rsidR="00422385" w:rsidRDefault="00000000" w:rsidP="00F20266">
            <w:pPr>
              <w:keepNext/>
              <w:keepLines/>
              <w:spacing w:after="0" w:line="240" w:lineRule="auto"/>
              <w:jc w:val="both"/>
            </w:pPr>
            <w:r>
              <w:rPr>
                <w:sz w:val="18"/>
              </w:rPr>
              <w:t>01</w:t>
            </w:r>
          </w:p>
        </w:tc>
        <w:tc>
          <w:tcPr>
            <w:tcW w:w="1860" w:type="dxa"/>
            <w:tcMar>
              <w:top w:w="0" w:type="dxa"/>
              <w:bottom w:w="0" w:type="dxa"/>
            </w:tcMar>
            <w:vAlign w:val="center"/>
          </w:tcPr>
          <w:p w14:paraId="6A62D5F5" w14:textId="77777777" w:rsidR="00422385" w:rsidRDefault="00000000" w:rsidP="00F20266">
            <w:pPr>
              <w:keepNext/>
              <w:keepLines/>
              <w:spacing w:after="0" w:line="240" w:lineRule="auto"/>
              <w:jc w:val="both"/>
            </w:pPr>
            <w:r>
              <w:rPr>
                <w:sz w:val="18"/>
              </w:rPr>
              <w:t>1.034.193,29</w:t>
            </w:r>
          </w:p>
        </w:tc>
        <w:tc>
          <w:tcPr>
            <w:tcW w:w="1860" w:type="dxa"/>
            <w:tcMar>
              <w:top w:w="0" w:type="dxa"/>
              <w:bottom w:w="0" w:type="dxa"/>
            </w:tcMar>
            <w:vAlign w:val="center"/>
          </w:tcPr>
          <w:p w14:paraId="6CB708D8" w14:textId="77777777" w:rsidR="00422385" w:rsidRDefault="00000000" w:rsidP="00F20266">
            <w:pPr>
              <w:keepNext/>
              <w:keepLines/>
              <w:spacing w:after="0" w:line="240" w:lineRule="auto"/>
              <w:jc w:val="both"/>
            </w:pPr>
            <w:r>
              <w:rPr>
                <w:sz w:val="18"/>
              </w:rPr>
              <w:t>1.180.790,04</w:t>
            </w:r>
          </w:p>
        </w:tc>
        <w:tc>
          <w:tcPr>
            <w:tcW w:w="700" w:type="dxa"/>
            <w:tcMar>
              <w:top w:w="0" w:type="dxa"/>
              <w:bottom w:w="0" w:type="dxa"/>
            </w:tcMar>
            <w:vAlign w:val="center"/>
          </w:tcPr>
          <w:p w14:paraId="44DB3570" w14:textId="77777777" w:rsidR="00422385" w:rsidRDefault="00000000" w:rsidP="00F20266">
            <w:pPr>
              <w:keepNext/>
              <w:keepLines/>
              <w:spacing w:after="0" w:line="240" w:lineRule="auto"/>
              <w:jc w:val="both"/>
            </w:pPr>
            <w:r>
              <w:rPr>
                <w:sz w:val="18"/>
              </w:rPr>
              <w:t>114,2</w:t>
            </w:r>
          </w:p>
        </w:tc>
      </w:tr>
    </w:tbl>
    <w:p w14:paraId="4C3FC2F0" w14:textId="77777777" w:rsidR="00422385" w:rsidRDefault="00422385" w:rsidP="00F20266">
      <w:pPr>
        <w:spacing w:after="0"/>
        <w:jc w:val="both"/>
      </w:pPr>
    </w:p>
    <w:p w14:paraId="45265837" w14:textId="77777777" w:rsidR="00422385" w:rsidRDefault="00000000" w:rsidP="00F20266">
      <w:pPr>
        <w:jc w:val="both"/>
      </w:pPr>
      <w:r>
        <w:t>Izvještaj o rashodima prema funkcijskoj klasifikaciji za razdoblje od 1. siječnja do 31.prosinca 2025. godine</w:t>
      </w:r>
    </w:p>
    <w:p w14:paraId="6B130673" w14:textId="77777777" w:rsidR="00422385" w:rsidRDefault="00000000" w:rsidP="00F20266">
      <w:pPr>
        <w:jc w:val="both"/>
      </w:pPr>
      <w:r>
        <w:t>Prema funkcijskoj klasifikaciji Općina Fažana-Fasana je realizirala rashode u ukupnom iznosu od 9.110.174,38 EUR, sa indeksom od 125,7 u odnosu na prethodnu godinu kad su ukupni rashodi iznosili 7.246.734,74 EUR.</w:t>
      </w:r>
    </w:p>
    <w:p w14:paraId="53EB6D20" w14:textId="77777777" w:rsidR="00422385" w:rsidRDefault="00000000" w:rsidP="00F20266">
      <w:pPr>
        <w:jc w:val="both"/>
      </w:pPr>
      <w:r>
        <w:t>Ukupni rashodi utrošeni su u slijedeće funkcije :</w:t>
      </w:r>
    </w:p>
    <w:p w14:paraId="09C64E81" w14:textId="77777777" w:rsidR="00422385" w:rsidRDefault="00000000" w:rsidP="00F20266">
      <w:pPr>
        <w:jc w:val="both"/>
      </w:pPr>
      <w:r>
        <w:t>-    01 opće javne usluge                                                           1.180.790,04 EUR</w:t>
      </w:r>
    </w:p>
    <w:p w14:paraId="17BE513B" w14:textId="77777777" w:rsidR="00422385" w:rsidRDefault="00000000" w:rsidP="00F20266">
      <w:pPr>
        <w:jc w:val="both"/>
      </w:pPr>
      <w:r>
        <w:t>-    03 javni red i sigurnost                                                            255.590,40 EUR</w:t>
      </w:r>
    </w:p>
    <w:p w14:paraId="7B3EF7E8" w14:textId="77777777" w:rsidR="00422385" w:rsidRDefault="00000000" w:rsidP="00F20266">
      <w:pPr>
        <w:jc w:val="both"/>
      </w:pPr>
      <w:r>
        <w:t>-    04 ekonomski poslovi                                                          1.030.471,41 EUR</w:t>
      </w:r>
    </w:p>
    <w:p w14:paraId="39B97751" w14:textId="77777777" w:rsidR="00422385" w:rsidRDefault="00000000" w:rsidP="00F20266">
      <w:pPr>
        <w:jc w:val="both"/>
      </w:pPr>
      <w:r>
        <w:t>-   05 zaštita okoliša                                                                   1.329.740,84 EUR</w:t>
      </w:r>
    </w:p>
    <w:p w14:paraId="1B2337F8" w14:textId="5BE084A1" w:rsidR="00422385" w:rsidRDefault="00000000" w:rsidP="00F20266">
      <w:pPr>
        <w:jc w:val="both"/>
      </w:pPr>
      <w:r>
        <w:t>-   06 unaprjeđenje stanovanja i zajednice                                4.077.072,85 EUR</w:t>
      </w:r>
    </w:p>
    <w:p w14:paraId="3126DAE5" w14:textId="77777777" w:rsidR="00422385" w:rsidRDefault="00000000" w:rsidP="00F20266">
      <w:pPr>
        <w:jc w:val="both"/>
      </w:pPr>
      <w:r>
        <w:t>-    07 zdravstvo                                                                            110.982,04 EUR</w:t>
      </w:r>
    </w:p>
    <w:p w14:paraId="3AA846B4" w14:textId="77777777" w:rsidR="00422385" w:rsidRDefault="00000000" w:rsidP="00F20266">
      <w:pPr>
        <w:jc w:val="both"/>
      </w:pPr>
      <w:r>
        <w:t>-    08 rekreacija, kultura i religija                                                  454.640,56 EUR</w:t>
      </w:r>
    </w:p>
    <w:p w14:paraId="64AD341E" w14:textId="77777777" w:rsidR="00422385" w:rsidRDefault="00000000" w:rsidP="00F20266">
      <w:pPr>
        <w:jc w:val="both"/>
      </w:pPr>
      <w:r>
        <w:t>-    09 obrazovanje                                                                        339.691,50 EUR</w:t>
      </w:r>
    </w:p>
    <w:p w14:paraId="63B53CBC" w14:textId="77777777" w:rsidR="00422385" w:rsidRDefault="00000000" w:rsidP="00F20266">
      <w:pPr>
        <w:jc w:val="both"/>
      </w:pPr>
      <w:r>
        <w:t>-    10 socijalna zaštita                                                                  331.194,74EUR.</w:t>
      </w:r>
    </w:p>
    <w:p w14:paraId="3AE7F055" w14:textId="77777777" w:rsidR="00422385" w:rsidRDefault="00000000" w:rsidP="00F20266">
      <w:pPr>
        <w:jc w:val="both"/>
      </w:pPr>
      <w:r>
        <w:t> </w:t>
      </w:r>
    </w:p>
    <w:p w14:paraId="6EFBC644" w14:textId="55E1385E" w:rsidR="00422385" w:rsidRDefault="00000000" w:rsidP="00F20266">
      <w:pPr>
        <w:jc w:val="both"/>
      </w:pPr>
      <w:r>
        <w:t xml:space="preserve">Od značajnijih odstupanja imamo u rashodima utrošenim na funkciju 04 - ekonomski poslovi 1.030.471,41 EUR sa indeksom od 353,6, a unutar te grupe, najveći dio otpada na skupinu 045 Promet na koje je utrošeno u 2025. godini iznos od 840.829,06 (odnosno uloženo u izgradnju prometnica na području općine, </w:t>
      </w:r>
      <w:proofErr w:type="spellStart"/>
      <w:r>
        <w:t>Šurida</w:t>
      </w:r>
      <w:proofErr w:type="spellEnd"/>
      <w:r>
        <w:t xml:space="preserve">, Cesta 2 i San </w:t>
      </w:r>
      <w:proofErr w:type="spellStart"/>
      <w:r>
        <w:t>Pellegrino</w:t>
      </w:r>
      <w:proofErr w:type="spellEnd"/>
      <w:r>
        <w:t>). Zatim na 03 – Javni red i sigurnost imamo povećanje od 36,3% u odnosu na 2024. godinu, gdje je ul</w:t>
      </w:r>
      <w:r w:rsidR="00153826">
        <w:t>o</w:t>
      </w:r>
      <w:r>
        <w:t>ženo sredstava u protupožarnu zaštitu (JVP i DVD).</w:t>
      </w:r>
    </w:p>
    <w:p w14:paraId="4BF2134B" w14:textId="77777777" w:rsidR="00422385" w:rsidRDefault="00000000" w:rsidP="00F20266">
      <w:pPr>
        <w:jc w:val="both"/>
      </w:pPr>
      <w:r>
        <w:t xml:space="preserve">Značajno povećanje imamo na 06 Usluge unapređenja stanovanja i zajednice, razvoj zajednice u iznosu od 4.077.072,85 EUR i sa indeksom od 114,8 u odnosu na 2024. godinu (a odnosi se na usluge održavanja komunalne infrastrukture, na izgradnju i opremanje Doma za mlade, uređenje maslinika kao tematskog parka, ...), zatim povećanje područja Opskrba vodom sa 433.297,50 EUR (ulaganje u izgradnju vodovodnih mreža na području </w:t>
      </w:r>
      <w:proofErr w:type="spellStart"/>
      <w:r>
        <w:t>Pinete</w:t>
      </w:r>
      <w:proofErr w:type="spellEnd"/>
      <w:r>
        <w:t xml:space="preserve"> ogranci I, II i III) i ulaganje u uličnu rasvjetu u iznosu od 347.940,09 EUR.</w:t>
      </w:r>
    </w:p>
    <w:p w14:paraId="20DAF000" w14:textId="77777777" w:rsidR="00422385" w:rsidRDefault="00000000" w:rsidP="00F20266">
      <w:pPr>
        <w:jc w:val="both"/>
      </w:pPr>
      <w:r>
        <w:lastRenderedPageBreak/>
        <w:t xml:space="preserve">Pod 07 Zdravstvo imamo povećanje od 5% u odnosu na prethodnu godinu, kao i na bolničke službe od 45,4%, a odnosi se na pomoći dane Domovima zdravlja, Centru za rehabilitaciju Pula, Istarskoj županiji za zdravstvo iznad standarda zbog povećanog broja turista, sufinanciranje rekonstrukcije odjela rehabilitacije bolnice </w:t>
      </w:r>
      <w:proofErr w:type="spellStart"/>
      <w:r>
        <w:t>M.Horvat</w:t>
      </w:r>
      <w:proofErr w:type="spellEnd"/>
      <w:r>
        <w:t xml:space="preserve"> u Rovinju.</w:t>
      </w:r>
    </w:p>
    <w:p w14:paraId="0A35FBFB" w14:textId="77777777" w:rsidR="00422385" w:rsidRDefault="00000000" w:rsidP="00F20266">
      <w:pPr>
        <w:jc w:val="both"/>
      </w:pPr>
      <w:r>
        <w:t xml:space="preserve">Pod 08 Rekreacija, unutar Službe rekreacije i sporta 081 imamo smanjenje za 11% u odnosu na prethodnu godinu, a odnosi se na izgradnju </w:t>
      </w:r>
      <w:proofErr w:type="spellStart"/>
      <w:r>
        <w:t>skate</w:t>
      </w:r>
      <w:proofErr w:type="spellEnd"/>
      <w:r>
        <w:t xml:space="preserve"> parka i financiranje Zajednice sportskih udruga.</w:t>
      </w:r>
    </w:p>
    <w:p w14:paraId="541086B4" w14:textId="77777777" w:rsidR="00422385" w:rsidRDefault="00000000" w:rsidP="00F20266">
      <w:pPr>
        <w:jc w:val="both"/>
      </w:pPr>
      <w:r>
        <w:t>Pod 09 Obrazovanje, Predškolsko obrazovanje  0911 imamo povećanje od 33,8% u odnosu na prethodnu godinu zbog povećanja sufinanciranja boravka djece u  privatnom vrtiću, te pod Osnovno obrazovanje 0912 također imamo povećanje za 15% uslijed povećanja sufinanciranja boravka djece u produženom boravku OŠ Fažana.</w:t>
      </w:r>
    </w:p>
    <w:p w14:paraId="190C7BEA" w14:textId="77777777" w:rsidR="00422385" w:rsidRDefault="00000000" w:rsidP="00F20266">
      <w:pPr>
        <w:jc w:val="both"/>
      </w:pPr>
      <w:r>
        <w:t>U funkciji 10 Socijalna zaštita imamo povećanje od 37,6% u odnosu na prethodnu godinu, pod Socijalna pomoć stanovništvu koje nije obuhvaćeno redovnim socijalnim programima 107 sa indeksom od 143,6 uslijed povećanja naknada koje dajemo za socijalno potrebite, naknade za novorođenčad, jednokratne pomoći za liječenja, zdravstvene probleme, posebnu ishranu onkoloških pacijenata, isplata novčanih pomoći prilikom blagdana i sl.</w:t>
      </w:r>
    </w:p>
    <w:p w14:paraId="0EFA6F4A" w14:textId="77777777" w:rsidR="00422385" w:rsidRDefault="00422385" w:rsidP="00F20266">
      <w:pPr>
        <w:jc w:val="both"/>
      </w:pPr>
    </w:p>
    <w:p w14:paraId="388C34F6" w14:textId="77777777" w:rsidR="00422385" w:rsidRDefault="00000000" w:rsidP="00F20266">
      <w:pPr>
        <w:keepNext/>
        <w:spacing w:line="240" w:lineRule="auto"/>
        <w:jc w:val="both"/>
      </w:pPr>
      <w:r>
        <w:rPr>
          <w:b/>
          <w:sz w:val="28"/>
        </w:rPr>
        <w:t>Promjene u vrijednosti i obujmu imovine i obveza</w:t>
      </w:r>
    </w:p>
    <w:p w14:paraId="75D89B5A" w14:textId="77777777" w:rsidR="00422385" w:rsidRDefault="00000000" w:rsidP="00F20266">
      <w:pPr>
        <w:keepNext/>
        <w:spacing w:line="240" w:lineRule="auto"/>
        <w:jc w:val="both"/>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385" w14:paraId="10D25501" w14:textId="77777777">
        <w:trPr>
          <w:cantSplit/>
        </w:trPr>
        <w:tc>
          <w:tcPr>
            <w:tcW w:w="700" w:type="dxa"/>
            <w:shd w:val="clear" w:color="auto" w:fill="E7F0F9"/>
            <w:tcMar>
              <w:top w:w="0" w:type="dxa"/>
              <w:bottom w:w="0" w:type="dxa"/>
            </w:tcMar>
            <w:vAlign w:val="center"/>
          </w:tcPr>
          <w:p w14:paraId="11CCD1AC"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945E44"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BF14C0A"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2FF06DC" w14:textId="77777777" w:rsidR="00422385" w:rsidRDefault="00000000" w:rsidP="00F20266">
            <w:pPr>
              <w:keepNext/>
              <w:keepLines/>
              <w:spacing w:after="0" w:line="240" w:lineRule="auto"/>
              <w:jc w:val="both"/>
            </w:pPr>
            <w:r>
              <w:rPr>
                <w:b/>
                <w:sz w:val="18"/>
              </w:rPr>
              <w:t>Iznos povećanja</w:t>
            </w:r>
          </w:p>
        </w:tc>
        <w:tc>
          <w:tcPr>
            <w:tcW w:w="1860" w:type="dxa"/>
            <w:shd w:val="clear" w:color="auto" w:fill="E7F0F9"/>
            <w:tcMar>
              <w:top w:w="0" w:type="dxa"/>
              <w:bottom w:w="0" w:type="dxa"/>
            </w:tcMar>
            <w:vAlign w:val="center"/>
          </w:tcPr>
          <w:p w14:paraId="0CB6D6A1" w14:textId="77777777" w:rsidR="00422385" w:rsidRDefault="00000000" w:rsidP="00F20266">
            <w:pPr>
              <w:keepNext/>
              <w:keepLines/>
              <w:spacing w:after="0" w:line="240" w:lineRule="auto"/>
              <w:jc w:val="both"/>
            </w:pPr>
            <w:r>
              <w:rPr>
                <w:b/>
                <w:sz w:val="18"/>
              </w:rPr>
              <w:t>Iznos smanjenja</w:t>
            </w:r>
          </w:p>
        </w:tc>
        <w:tc>
          <w:tcPr>
            <w:tcW w:w="700" w:type="dxa"/>
            <w:shd w:val="clear" w:color="auto" w:fill="E7F0F9"/>
            <w:tcMar>
              <w:top w:w="0" w:type="dxa"/>
              <w:bottom w:w="0" w:type="dxa"/>
            </w:tcMar>
            <w:vAlign w:val="center"/>
          </w:tcPr>
          <w:p w14:paraId="5D549483" w14:textId="77777777" w:rsidR="00422385" w:rsidRDefault="00000000" w:rsidP="00F20266">
            <w:pPr>
              <w:keepNext/>
              <w:keepLines/>
              <w:spacing w:after="0" w:line="240" w:lineRule="auto"/>
              <w:jc w:val="both"/>
            </w:pPr>
            <w:r>
              <w:rPr>
                <w:b/>
                <w:sz w:val="18"/>
              </w:rPr>
              <w:t>Indeks (%)</w:t>
            </w:r>
          </w:p>
        </w:tc>
      </w:tr>
      <w:tr w:rsidR="00422385" w14:paraId="027BF722" w14:textId="77777777">
        <w:trPr>
          <w:cantSplit/>
          <w:trHeight w:val="560"/>
        </w:trPr>
        <w:tc>
          <w:tcPr>
            <w:tcW w:w="700" w:type="dxa"/>
            <w:tcMar>
              <w:top w:w="0" w:type="dxa"/>
              <w:bottom w:w="0" w:type="dxa"/>
            </w:tcMar>
            <w:vAlign w:val="center"/>
          </w:tcPr>
          <w:p w14:paraId="7013AF5F" w14:textId="77777777" w:rsidR="00422385" w:rsidRDefault="00000000" w:rsidP="00F20266">
            <w:pPr>
              <w:keepNext/>
              <w:keepLines/>
              <w:spacing w:after="0" w:line="240" w:lineRule="auto"/>
              <w:jc w:val="both"/>
            </w:pPr>
            <w:r>
              <w:rPr>
                <w:sz w:val="18"/>
              </w:rPr>
              <w:t>9151</w:t>
            </w:r>
          </w:p>
        </w:tc>
        <w:tc>
          <w:tcPr>
            <w:tcW w:w="3180" w:type="dxa"/>
            <w:tcMar>
              <w:top w:w="0" w:type="dxa"/>
              <w:bottom w:w="0" w:type="dxa"/>
            </w:tcMar>
            <w:vAlign w:val="center"/>
          </w:tcPr>
          <w:p w14:paraId="3E3BCF91" w14:textId="77777777" w:rsidR="00422385" w:rsidRDefault="00000000" w:rsidP="00F20266">
            <w:pPr>
              <w:keepNext/>
              <w:keepLines/>
              <w:spacing w:after="0" w:line="240" w:lineRule="auto"/>
              <w:jc w:val="both"/>
            </w:pPr>
            <w:r>
              <w:rPr>
                <w:sz w:val="18"/>
              </w:rPr>
              <w:t>Promjene u vrijednosti i obujmu imovine (šifre 91511+91512)</w:t>
            </w:r>
          </w:p>
        </w:tc>
        <w:tc>
          <w:tcPr>
            <w:tcW w:w="700" w:type="dxa"/>
            <w:tcMar>
              <w:top w:w="0" w:type="dxa"/>
              <w:bottom w:w="0" w:type="dxa"/>
            </w:tcMar>
            <w:vAlign w:val="center"/>
          </w:tcPr>
          <w:p w14:paraId="1796B17D" w14:textId="77777777" w:rsidR="00422385" w:rsidRDefault="00000000" w:rsidP="00F20266">
            <w:pPr>
              <w:keepNext/>
              <w:keepLines/>
              <w:spacing w:after="0" w:line="240" w:lineRule="auto"/>
              <w:jc w:val="both"/>
            </w:pPr>
            <w:r>
              <w:rPr>
                <w:sz w:val="18"/>
              </w:rPr>
              <w:t>9151</w:t>
            </w:r>
          </w:p>
        </w:tc>
        <w:tc>
          <w:tcPr>
            <w:tcW w:w="1860" w:type="dxa"/>
            <w:tcMar>
              <w:top w:w="0" w:type="dxa"/>
              <w:bottom w:w="0" w:type="dxa"/>
            </w:tcMar>
            <w:vAlign w:val="center"/>
          </w:tcPr>
          <w:p w14:paraId="0B23CAA6" w14:textId="77777777" w:rsidR="00422385" w:rsidRDefault="00000000" w:rsidP="00F20266">
            <w:pPr>
              <w:keepNext/>
              <w:keepLines/>
              <w:spacing w:after="0" w:line="240" w:lineRule="auto"/>
              <w:jc w:val="both"/>
            </w:pPr>
            <w:r>
              <w:rPr>
                <w:sz w:val="18"/>
              </w:rPr>
              <w:t>10.745.374,40</w:t>
            </w:r>
          </w:p>
        </w:tc>
        <w:tc>
          <w:tcPr>
            <w:tcW w:w="1860" w:type="dxa"/>
            <w:tcMar>
              <w:top w:w="0" w:type="dxa"/>
              <w:bottom w:w="0" w:type="dxa"/>
            </w:tcMar>
            <w:vAlign w:val="center"/>
          </w:tcPr>
          <w:p w14:paraId="77220BA8" w14:textId="77777777" w:rsidR="00422385" w:rsidRDefault="00000000" w:rsidP="00F20266">
            <w:pPr>
              <w:keepNext/>
              <w:keepLines/>
              <w:spacing w:after="0" w:line="240" w:lineRule="auto"/>
              <w:jc w:val="both"/>
            </w:pPr>
            <w:r>
              <w:rPr>
                <w:sz w:val="18"/>
              </w:rPr>
              <w:t>1.100.899,70</w:t>
            </w:r>
          </w:p>
        </w:tc>
        <w:tc>
          <w:tcPr>
            <w:tcW w:w="700" w:type="dxa"/>
            <w:tcMar>
              <w:top w:w="0" w:type="dxa"/>
              <w:bottom w:w="0" w:type="dxa"/>
            </w:tcMar>
            <w:vAlign w:val="center"/>
          </w:tcPr>
          <w:p w14:paraId="70262590" w14:textId="77777777" w:rsidR="00422385" w:rsidRDefault="00000000" w:rsidP="00F20266">
            <w:pPr>
              <w:keepNext/>
              <w:keepLines/>
              <w:spacing w:after="0" w:line="240" w:lineRule="auto"/>
              <w:jc w:val="both"/>
            </w:pPr>
            <w:r>
              <w:rPr>
                <w:sz w:val="18"/>
              </w:rPr>
              <w:t>10,2</w:t>
            </w:r>
          </w:p>
        </w:tc>
      </w:tr>
    </w:tbl>
    <w:p w14:paraId="68C48387" w14:textId="77777777" w:rsidR="00422385" w:rsidRDefault="00422385" w:rsidP="00F20266">
      <w:pPr>
        <w:spacing w:after="0"/>
        <w:jc w:val="both"/>
      </w:pPr>
    </w:p>
    <w:p w14:paraId="55F6CA61" w14:textId="77777777" w:rsidR="00422385" w:rsidRDefault="00000000" w:rsidP="00F20266">
      <w:pPr>
        <w:jc w:val="both"/>
      </w:pPr>
      <w:r>
        <w:t>U izvještajnom razdoblju od 1. siječnja do 31. prosinca 2025. godine Općina Fažana-Fasana imala je promjenu u povećanju i smanjenju vrijednosti i obujmu imovine u ukupnom iznosu od 11.846.274,10 EUR.</w:t>
      </w:r>
    </w:p>
    <w:p w14:paraId="77BED123" w14:textId="77777777" w:rsidR="00422385" w:rsidRDefault="00000000" w:rsidP="00F20266">
      <w:pPr>
        <w:jc w:val="both"/>
      </w:pPr>
      <w:r>
        <w:t>Sukladno čl. 192 Pravilnika o proračunskom računovodstvu, Općina Fažana je u 2025. godini promijenila vrijednost zemljišta i to za procijenjene vrijednosti zemljišta - povećanjem vrijednosti imovine i to na slijedećim stavkama :</w:t>
      </w:r>
    </w:p>
    <w:p w14:paraId="6E6A2D1D" w14:textId="77777777" w:rsidR="00422385" w:rsidRDefault="00000000" w:rsidP="00F20266">
      <w:pPr>
        <w:pStyle w:val="Odlomakpopisa"/>
        <w:numPr>
          <w:ilvl w:val="0"/>
          <w:numId w:val="1"/>
        </w:numPr>
        <w:jc w:val="both"/>
      </w:pPr>
      <w:proofErr w:type="spellStart"/>
      <w:r>
        <w:t>k.č</w:t>
      </w:r>
      <w:proofErr w:type="spellEnd"/>
      <w:r>
        <w:t>. 928/44 k.o. Fažana u vrijednosti od 53.100,00 EUR</w:t>
      </w:r>
    </w:p>
    <w:p w14:paraId="7A51A60C" w14:textId="77777777" w:rsidR="00422385" w:rsidRDefault="00000000" w:rsidP="00F20266">
      <w:pPr>
        <w:pStyle w:val="Odlomakpopisa"/>
        <w:numPr>
          <w:ilvl w:val="0"/>
          <w:numId w:val="1"/>
        </w:numPr>
        <w:jc w:val="both"/>
      </w:pPr>
      <w:proofErr w:type="spellStart"/>
      <w:r>
        <w:t>k.č</w:t>
      </w:r>
      <w:proofErr w:type="spellEnd"/>
      <w:r>
        <w:t>. 780/133 k.o. Fažana u vrijednosti od 562.078,40 EUR</w:t>
      </w:r>
    </w:p>
    <w:p w14:paraId="295C0595" w14:textId="77777777" w:rsidR="00422385" w:rsidRDefault="00000000" w:rsidP="00F20266">
      <w:pPr>
        <w:pStyle w:val="Odlomakpopisa"/>
        <w:numPr>
          <w:ilvl w:val="0"/>
          <w:numId w:val="1"/>
        </w:numPr>
        <w:jc w:val="both"/>
      </w:pPr>
      <w:proofErr w:type="spellStart"/>
      <w:r>
        <w:t>k.č</w:t>
      </w:r>
      <w:proofErr w:type="spellEnd"/>
      <w:r>
        <w:t>. 857/19 k.o. Fažana u vrijednosti od 37.600,00 EUR</w:t>
      </w:r>
    </w:p>
    <w:p w14:paraId="4A4EFC45" w14:textId="77777777" w:rsidR="00422385" w:rsidRDefault="00000000" w:rsidP="00F20266">
      <w:pPr>
        <w:pStyle w:val="Odlomakpopisa"/>
        <w:numPr>
          <w:ilvl w:val="0"/>
          <w:numId w:val="1"/>
        </w:numPr>
        <w:jc w:val="both"/>
      </w:pPr>
      <w:proofErr w:type="spellStart"/>
      <w:r>
        <w:t>k.č</w:t>
      </w:r>
      <w:proofErr w:type="spellEnd"/>
      <w:r>
        <w:t>. 839/9 k.o. Fažana u vrijednosti od 1.080,00 EUR</w:t>
      </w:r>
    </w:p>
    <w:p w14:paraId="5330C66C" w14:textId="77777777" w:rsidR="00422385" w:rsidRDefault="00000000" w:rsidP="00F20266">
      <w:pPr>
        <w:pStyle w:val="Odlomakpopisa"/>
        <w:numPr>
          <w:ilvl w:val="0"/>
          <w:numId w:val="1"/>
        </w:numPr>
        <w:jc w:val="both"/>
      </w:pPr>
      <w:proofErr w:type="spellStart"/>
      <w:r>
        <w:t>k.č</w:t>
      </w:r>
      <w:proofErr w:type="spellEnd"/>
      <w:r>
        <w:t>. 839/7 k.o. Fažana u vrijednosti od 10.150,00 EUR</w:t>
      </w:r>
    </w:p>
    <w:p w14:paraId="1138F188" w14:textId="77777777" w:rsidR="00422385" w:rsidRDefault="00000000" w:rsidP="00F20266">
      <w:pPr>
        <w:pStyle w:val="Odlomakpopisa"/>
        <w:numPr>
          <w:ilvl w:val="0"/>
          <w:numId w:val="1"/>
        </w:numPr>
        <w:jc w:val="both"/>
      </w:pPr>
      <w:proofErr w:type="spellStart"/>
      <w:r>
        <w:t>k.č</w:t>
      </w:r>
      <w:proofErr w:type="spellEnd"/>
      <w:r>
        <w:t>. 839/8 k.o. Fažana u vrijednosti od 366,00 EUR</w:t>
      </w:r>
    </w:p>
    <w:p w14:paraId="5096AF25" w14:textId="77777777" w:rsidR="00422385" w:rsidRDefault="00000000" w:rsidP="00F20266">
      <w:pPr>
        <w:pStyle w:val="Odlomakpopisa"/>
        <w:numPr>
          <w:ilvl w:val="0"/>
          <w:numId w:val="1"/>
        </w:numPr>
        <w:jc w:val="both"/>
      </w:pPr>
      <w:proofErr w:type="spellStart"/>
      <w:r>
        <w:t>k.č</w:t>
      </w:r>
      <w:proofErr w:type="spellEnd"/>
      <w:r>
        <w:t>. 776/3 k.o. Fažana, namjena turističko naselje u vrijednosti od 4.320.000,00 EUR</w:t>
      </w:r>
    </w:p>
    <w:p w14:paraId="3FC9F5E2" w14:textId="77777777" w:rsidR="00422385" w:rsidRDefault="00000000" w:rsidP="00F20266">
      <w:pPr>
        <w:pStyle w:val="Odlomakpopisa"/>
        <w:numPr>
          <w:ilvl w:val="0"/>
          <w:numId w:val="1"/>
        </w:numPr>
        <w:jc w:val="both"/>
      </w:pPr>
      <w:proofErr w:type="spellStart"/>
      <w:r>
        <w:t>k.č</w:t>
      </w:r>
      <w:proofErr w:type="spellEnd"/>
      <w:r>
        <w:t>. 777/1 k.o. Fažana, namjena turističko naselje u vrijednosti od 3.630.000,00 EUR</w:t>
      </w:r>
    </w:p>
    <w:p w14:paraId="41EAB7F7" w14:textId="77777777" w:rsidR="00422385" w:rsidRDefault="00000000" w:rsidP="00F20266">
      <w:pPr>
        <w:pStyle w:val="Odlomakpopisa"/>
        <w:numPr>
          <w:ilvl w:val="0"/>
          <w:numId w:val="1"/>
        </w:numPr>
        <w:jc w:val="both"/>
      </w:pPr>
      <w:proofErr w:type="spellStart"/>
      <w:r>
        <w:t>k.č</w:t>
      </w:r>
      <w:proofErr w:type="spellEnd"/>
      <w:r>
        <w:t>. 1206/19 k.o. Fažana, u vrijednosti od 2.131.000,00 EUR</w:t>
      </w:r>
    </w:p>
    <w:p w14:paraId="64A068E7" w14:textId="77777777" w:rsidR="00422385" w:rsidRDefault="00000000" w:rsidP="00F20266">
      <w:pPr>
        <w:jc w:val="both"/>
      </w:pPr>
      <w:r>
        <w:t>Ukupne procijenjene vrijednosti od 10.745.374,40 EUR.</w:t>
      </w:r>
    </w:p>
    <w:p w14:paraId="78E54E84" w14:textId="77777777" w:rsidR="00422385" w:rsidRDefault="00000000" w:rsidP="00F20266">
      <w:pPr>
        <w:jc w:val="both"/>
      </w:pPr>
      <w:r>
        <w:lastRenderedPageBreak/>
        <w:t>Ujedno, sukladno članku 192. stavak 7 u obrazac P-VRIO kao smanjenje unosi se iznos provedenog ispravka vrijednosti i to za slijedeće stavke :</w:t>
      </w:r>
    </w:p>
    <w:p w14:paraId="10020DAD" w14:textId="77777777" w:rsidR="00422385" w:rsidRDefault="00000000" w:rsidP="00F20266">
      <w:pPr>
        <w:pStyle w:val="Odlomakpopisa"/>
        <w:numPr>
          <w:ilvl w:val="0"/>
          <w:numId w:val="3"/>
        </w:numPr>
        <w:jc w:val="both"/>
      </w:pPr>
      <w:r>
        <w:t>ispravak vrijednosti građevinskih objekata, postrojenja i vozila u iznosu od 1.100.899,70 EUR.</w:t>
      </w:r>
    </w:p>
    <w:p w14:paraId="39D352BB" w14:textId="77777777" w:rsidR="00422385" w:rsidRDefault="00000000" w:rsidP="00F20266">
      <w:pPr>
        <w:jc w:val="both"/>
      </w:pPr>
      <w:r>
        <w:t> </w:t>
      </w:r>
    </w:p>
    <w:p w14:paraId="7B19A234" w14:textId="77777777" w:rsidR="00422385" w:rsidRDefault="00422385" w:rsidP="00F20266">
      <w:pPr>
        <w:jc w:val="both"/>
      </w:pPr>
    </w:p>
    <w:p w14:paraId="21708FAA" w14:textId="77777777" w:rsidR="00422385" w:rsidRDefault="00000000" w:rsidP="00F20266">
      <w:pPr>
        <w:keepNext/>
        <w:spacing w:line="240" w:lineRule="auto"/>
        <w:jc w:val="both"/>
      </w:pPr>
      <w:r>
        <w:rPr>
          <w:b/>
          <w:sz w:val="28"/>
        </w:rPr>
        <w:t>Izvještaj o obvezama</w:t>
      </w:r>
    </w:p>
    <w:p w14:paraId="76444073" w14:textId="77777777" w:rsidR="00422385" w:rsidRDefault="00000000" w:rsidP="00F20266">
      <w:pPr>
        <w:keepNext/>
        <w:spacing w:line="240" w:lineRule="auto"/>
        <w:jc w:val="both"/>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22385" w14:paraId="3B3E8474" w14:textId="77777777">
        <w:trPr>
          <w:cantSplit/>
        </w:trPr>
        <w:tc>
          <w:tcPr>
            <w:tcW w:w="700" w:type="dxa"/>
            <w:shd w:val="clear" w:color="auto" w:fill="E7F0F9"/>
            <w:tcMar>
              <w:top w:w="0" w:type="dxa"/>
              <w:bottom w:w="0" w:type="dxa"/>
            </w:tcMar>
            <w:vAlign w:val="center"/>
          </w:tcPr>
          <w:p w14:paraId="336977DC" w14:textId="77777777" w:rsidR="00422385" w:rsidRDefault="00000000" w:rsidP="00F20266">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2804F7" w14:textId="77777777" w:rsidR="00422385" w:rsidRDefault="00000000" w:rsidP="00F20266">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A5373F6" w14:textId="77777777" w:rsidR="00422385" w:rsidRDefault="00000000" w:rsidP="00F20266">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E94847F" w14:textId="77777777" w:rsidR="00422385" w:rsidRDefault="00000000" w:rsidP="00F20266">
            <w:pPr>
              <w:keepNext/>
              <w:keepLines/>
              <w:spacing w:after="0" w:line="240" w:lineRule="auto"/>
              <w:jc w:val="both"/>
            </w:pPr>
            <w:r>
              <w:rPr>
                <w:b/>
                <w:sz w:val="18"/>
              </w:rPr>
              <w:t>Iznos</w:t>
            </w:r>
          </w:p>
        </w:tc>
        <w:tc>
          <w:tcPr>
            <w:tcW w:w="700" w:type="dxa"/>
            <w:shd w:val="clear" w:color="auto" w:fill="E7F0F9"/>
            <w:tcMar>
              <w:top w:w="0" w:type="dxa"/>
              <w:bottom w:w="0" w:type="dxa"/>
            </w:tcMar>
            <w:vAlign w:val="center"/>
          </w:tcPr>
          <w:p w14:paraId="22ABFE11" w14:textId="77777777" w:rsidR="00422385" w:rsidRDefault="00000000" w:rsidP="00F20266">
            <w:pPr>
              <w:keepNext/>
              <w:keepLines/>
              <w:spacing w:after="0" w:line="240" w:lineRule="auto"/>
              <w:jc w:val="both"/>
            </w:pPr>
            <w:r>
              <w:rPr>
                <w:b/>
                <w:sz w:val="18"/>
              </w:rPr>
              <w:t>Indeks (%)</w:t>
            </w:r>
          </w:p>
        </w:tc>
      </w:tr>
      <w:tr w:rsidR="00422385" w14:paraId="13FCC33C" w14:textId="77777777">
        <w:trPr>
          <w:cantSplit/>
          <w:trHeight w:val="560"/>
        </w:trPr>
        <w:tc>
          <w:tcPr>
            <w:tcW w:w="700" w:type="dxa"/>
            <w:tcMar>
              <w:top w:w="0" w:type="dxa"/>
              <w:bottom w:w="0" w:type="dxa"/>
            </w:tcMar>
            <w:vAlign w:val="center"/>
          </w:tcPr>
          <w:p w14:paraId="686C2B68" w14:textId="77777777" w:rsidR="00422385" w:rsidRDefault="00422385" w:rsidP="00F20266">
            <w:pPr>
              <w:keepNext/>
              <w:keepLines/>
              <w:spacing w:after="0" w:line="240" w:lineRule="auto"/>
              <w:jc w:val="both"/>
            </w:pPr>
          </w:p>
        </w:tc>
        <w:tc>
          <w:tcPr>
            <w:tcW w:w="3180" w:type="dxa"/>
            <w:tcMar>
              <w:top w:w="0" w:type="dxa"/>
              <w:bottom w:w="0" w:type="dxa"/>
            </w:tcMar>
            <w:vAlign w:val="center"/>
          </w:tcPr>
          <w:p w14:paraId="18CA29BF" w14:textId="77777777" w:rsidR="00422385" w:rsidRDefault="00000000" w:rsidP="00F20266">
            <w:pPr>
              <w:keepNext/>
              <w:keepLines/>
              <w:spacing w:after="0" w:line="240" w:lineRule="auto"/>
              <w:jc w:val="both"/>
            </w:pPr>
            <w:r>
              <w:rPr>
                <w:sz w:val="18"/>
              </w:rPr>
              <w:t>Stanje dospjelih obveza na kraju izvještajnog razdoblja (šifre V008+D23+D24 + 'D dio 25,26' + D27)</w:t>
            </w:r>
          </w:p>
        </w:tc>
        <w:tc>
          <w:tcPr>
            <w:tcW w:w="700" w:type="dxa"/>
            <w:tcMar>
              <w:top w:w="0" w:type="dxa"/>
              <w:bottom w:w="0" w:type="dxa"/>
            </w:tcMar>
            <w:vAlign w:val="center"/>
          </w:tcPr>
          <w:p w14:paraId="1EB04C9F" w14:textId="77777777" w:rsidR="00422385" w:rsidRDefault="00000000" w:rsidP="00F20266">
            <w:pPr>
              <w:keepNext/>
              <w:keepLines/>
              <w:spacing w:after="0" w:line="240" w:lineRule="auto"/>
              <w:jc w:val="both"/>
            </w:pPr>
            <w:r>
              <w:rPr>
                <w:sz w:val="18"/>
              </w:rPr>
              <w:t>V007</w:t>
            </w:r>
          </w:p>
        </w:tc>
        <w:tc>
          <w:tcPr>
            <w:tcW w:w="1860" w:type="dxa"/>
            <w:tcMar>
              <w:top w:w="0" w:type="dxa"/>
              <w:bottom w:w="0" w:type="dxa"/>
            </w:tcMar>
            <w:vAlign w:val="center"/>
          </w:tcPr>
          <w:p w14:paraId="6C782722" w14:textId="77777777" w:rsidR="00422385" w:rsidRDefault="00000000" w:rsidP="00F20266">
            <w:pPr>
              <w:keepNext/>
              <w:keepLines/>
              <w:spacing w:after="0" w:line="240" w:lineRule="auto"/>
              <w:jc w:val="both"/>
            </w:pPr>
            <w:r>
              <w:rPr>
                <w:sz w:val="18"/>
              </w:rPr>
              <w:t>78.652,65</w:t>
            </w:r>
          </w:p>
        </w:tc>
        <w:tc>
          <w:tcPr>
            <w:tcW w:w="700" w:type="dxa"/>
            <w:tcMar>
              <w:top w:w="0" w:type="dxa"/>
              <w:bottom w:w="0" w:type="dxa"/>
            </w:tcMar>
            <w:vAlign w:val="center"/>
          </w:tcPr>
          <w:p w14:paraId="5882261B" w14:textId="77777777" w:rsidR="00422385" w:rsidRDefault="00000000" w:rsidP="00F20266">
            <w:pPr>
              <w:keepNext/>
              <w:keepLines/>
              <w:spacing w:after="0" w:line="240" w:lineRule="auto"/>
              <w:jc w:val="both"/>
            </w:pPr>
            <w:r>
              <w:rPr>
                <w:sz w:val="18"/>
              </w:rPr>
              <w:t>-</w:t>
            </w:r>
          </w:p>
        </w:tc>
      </w:tr>
    </w:tbl>
    <w:p w14:paraId="62DA9E13" w14:textId="77777777" w:rsidR="00422385" w:rsidRDefault="00422385" w:rsidP="00F20266">
      <w:pPr>
        <w:spacing w:after="0"/>
        <w:jc w:val="both"/>
      </w:pPr>
    </w:p>
    <w:p w14:paraId="77EF3177" w14:textId="77777777" w:rsidR="00422385" w:rsidRDefault="00000000" w:rsidP="00F20266">
      <w:pPr>
        <w:jc w:val="both"/>
      </w:pPr>
      <w:r>
        <w:t>Na dan 31. prosinca 2025. godine Općina Fažana ima dospjelih obveza u iznosu od 78.652,65 EUR.</w:t>
      </w:r>
    </w:p>
    <w:p w14:paraId="2E499805" w14:textId="77777777" w:rsidR="00422385" w:rsidRDefault="00000000" w:rsidP="00F20266">
      <w:pPr>
        <w:jc w:val="both"/>
      </w:pPr>
      <w:r>
        <w:t>Dospjele obveze (šifra V007) u izvještajnom razdoblju odnose se na slijedeće:</w:t>
      </w:r>
    </w:p>
    <w:p w14:paraId="5859BFF9" w14:textId="77777777" w:rsidR="00422385" w:rsidRDefault="00000000" w:rsidP="00F20266">
      <w:pPr>
        <w:jc w:val="both"/>
      </w:pPr>
      <w:r>
        <w:t>- obveze za rashode poslovanja (D23) u iznosu od 18.929,15 EUR </w:t>
      </w:r>
    </w:p>
    <w:p w14:paraId="06268A3A" w14:textId="77777777" w:rsidR="00422385" w:rsidRDefault="00000000" w:rsidP="00F20266">
      <w:pPr>
        <w:jc w:val="both"/>
      </w:pPr>
      <w:r>
        <w:t>- obveze za nabavu nefinancijske imovine (D24) u iznosu od 59.793,50 EUR.</w:t>
      </w:r>
    </w:p>
    <w:p w14:paraId="0F919396" w14:textId="77777777" w:rsidR="00422385" w:rsidRDefault="00000000" w:rsidP="00F20266">
      <w:pPr>
        <w:jc w:val="both"/>
      </w:pPr>
      <w:r>
        <w:t> </w:t>
      </w:r>
    </w:p>
    <w:p w14:paraId="5ED7A407" w14:textId="77777777" w:rsidR="00422385" w:rsidRDefault="00000000" w:rsidP="00F20266">
      <w:pPr>
        <w:jc w:val="both"/>
      </w:pPr>
      <w:r>
        <w:t>Obveze za rashode poslovanja (šifra D23) čine obveze za:</w:t>
      </w:r>
    </w:p>
    <w:p w14:paraId="11BC85C6" w14:textId="77777777" w:rsidR="00422385" w:rsidRDefault="00000000" w:rsidP="00F20266">
      <w:pPr>
        <w:jc w:val="both"/>
      </w:pPr>
      <w:r>
        <w:t>- materijalne rashode (D232) u iznosu od 12.788,14 EUR i</w:t>
      </w:r>
    </w:p>
    <w:p w14:paraId="0864BF9F" w14:textId="77777777" w:rsidR="00422385" w:rsidRDefault="00000000" w:rsidP="00F20266">
      <w:pPr>
        <w:jc w:val="both"/>
      </w:pPr>
      <w:r>
        <w:t>- obveze za naknade građanima i kućanstvima (D237) u iznosu od 6.141,01 EUR.</w:t>
      </w:r>
    </w:p>
    <w:p w14:paraId="1C17DD34" w14:textId="77777777" w:rsidR="00422385" w:rsidRDefault="00000000" w:rsidP="00F20266">
      <w:pPr>
        <w:jc w:val="both"/>
      </w:pPr>
      <w:r>
        <w:t>Obveze za nabavu nefinancijske imovine (D24) čine obveze za:</w:t>
      </w:r>
    </w:p>
    <w:p w14:paraId="5A8DCE55" w14:textId="77777777" w:rsidR="00422385" w:rsidRDefault="00000000" w:rsidP="00F20266">
      <w:pPr>
        <w:jc w:val="both"/>
      </w:pPr>
      <w:r>
        <w:t>-za nabavu proizvedene dugotrajne imovine u iznosu od 59.793,50 EUR.</w:t>
      </w:r>
    </w:p>
    <w:p w14:paraId="0D3186CC" w14:textId="77777777" w:rsidR="00422385" w:rsidRDefault="00000000" w:rsidP="00F20266">
      <w:pPr>
        <w:jc w:val="both"/>
      </w:pPr>
      <w:r>
        <w:t> </w:t>
      </w:r>
    </w:p>
    <w:p w14:paraId="400CF383" w14:textId="77777777" w:rsidR="00422385" w:rsidRDefault="00000000" w:rsidP="00F20266">
      <w:pPr>
        <w:jc w:val="both"/>
      </w:pPr>
      <w:r>
        <w:t>Dospijeća dospjelih obveza D232 po danima : </w:t>
      </w:r>
    </w:p>
    <w:p w14:paraId="4BE6B34B" w14:textId="77777777" w:rsidR="00422385" w:rsidRDefault="00000000" w:rsidP="00F20266">
      <w:pPr>
        <w:jc w:val="both"/>
      </w:pPr>
      <w:r>
        <w:t>a)  prekoračenje do 60 dana - obveze iznose 10.874,77 EUR (računi za ugostiteljske usluge, usluge stručnog nadzora, struja, projektantske usluge)</w:t>
      </w:r>
    </w:p>
    <w:p w14:paraId="6C7921C1" w14:textId="77777777" w:rsidR="00422385" w:rsidRDefault="00000000" w:rsidP="00F20266">
      <w:pPr>
        <w:jc w:val="both"/>
      </w:pPr>
      <w:r>
        <w:t>b)  prekoračenje do 180 dana - obveze iznose 154,00 EUR (račun za uslugu pripreme toplih obroka - kompenzacija u tijeku)</w:t>
      </w:r>
    </w:p>
    <w:p w14:paraId="7E10DD53" w14:textId="77777777" w:rsidR="00422385" w:rsidRDefault="00000000" w:rsidP="00F20266">
      <w:pPr>
        <w:jc w:val="both"/>
      </w:pPr>
      <w:r>
        <w:t>c)  prekoračenje preko 360 dana - obveze iznose 1.759,37 EUR (računi za strujni priključak i stručnog nadzora, obveze nisu usklađene ili su osporavane).</w:t>
      </w:r>
    </w:p>
    <w:p w14:paraId="6807AEDD" w14:textId="77777777" w:rsidR="00422385" w:rsidRDefault="00000000" w:rsidP="00F20266">
      <w:pPr>
        <w:jc w:val="both"/>
      </w:pPr>
      <w:r>
        <w:t> </w:t>
      </w:r>
    </w:p>
    <w:p w14:paraId="09CC3BEA" w14:textId="77777777" w:rsidR="00422385" w:rsidRDefault="00000000" w:rsidP="00F20266">
      <w:pPr>
        <w:jc w:val="both"/>
      </w:pPr>
      <w:r>
        <w:t>Dospijeća dospjelih obveza D237 po danima:</w:t>
      </w:r>
    </w:p>
    <w:p w14:paraId="7B233B7F" w14:textId="77777777" w:rsidR="00422385" w:rsidRDefault="00000000" w:rsidP="00F20266">
      <w:pPr>
        <w:jc w:val="both"/>
      </w:pPr>
      <w:r>
        <w:lastRenderedPageBreak/>
        <w:t>a) prekoračenje do 60 dana - obveze iznose 5.121,00 EUR (odnose se na račune za javni prijevoz (sa zakašnjenjem ispostavljene) i usluge pripreme toplih obroka - kompenzacija u tijeku).</w:t>
      </w:r>
    </w:p>
    <w:p w14:paraId="11AE7FE2" w14:textId="77777777" w:rsidR="00422385" w:rsidRDefault="00000000" w:rsidP="00F20266">
      <w:pPr>
        <w:jc w:val="both"/>
      </w:pPr>
      <w:r>
        <w:t>b) prekoračenje do 180 dana - obveze iznose 1.020,01 EUR (odnose se na račun za uslugu pripreme toplih obroka - kompenzacija u tijeku).</w:t>
      </w:r>
    </w:p>
    <w:p w14:paraId="6E6CC79B" w14:textId="77777777" w:rsidR="00422385" w:rsidRDefault="00000000" w:rsidP="00F20266">
      <w:pPr>
        <w:jc w:val="both"/>
      </w:pPr>
      <w:r>
        <w:t> </w:t>
      </w:r>
    </w:p>
    <w:p w14:paraId="5E328296" w14:textId="77777777" w:rsidR="00422385" w:rsidRDefault="00000000" w:rsidP="00F20266">
      <w:pPr>
        <w:jc w:val="both"/>
      </w:pPr>
      <w:r>
        <w:t>Obveze za nabavu nefinancijske imovine (D24) u iznosu od 59.723,50 EUR čine obveze za :</w:t>
      </w:r>
    </w:p>
    <w:p w14:paraId="52C8A94E" w14:textId="77777777" w:rsidR="00422385" w:rsidRDefault="00000000" w:rsidP="00F20266">
      <w:pPr>
        <w:jc w:val="both"/>
      </w:pPr>
      <w:r>
        <w:t>-   nabavu proizvedene dugotrajne imovine (242).</w:t>
      </w:r>
    </w:p>
    <w:p w14:paraId="7713F5FE" w14:textId="77777777" w:rsidR="00422385" w:rsidRDefault="00000000" w:rsidP="00F20266">
      <w:pPr>
        <w:jc w:val="both"/>
      </w:pPr>
      <w:r>
        <w:t>Dospijeća dospjelih obveza D24 po danima :</w:t>
      </w:r>
    </w:p>
    <w:p w14:paraId="53D0F740" w14:textId="77777777" w:rsidR="00422385" w:rsidRDefault="00000000" w:rsidP="00F20266">
      <w:pPr>
        <w:jc w:val="both"/>
      </w:pPr>
      <w:r>
        <w:t>a)    prekoračenje do 60 dana – obveze iznose od 14.200,00 EUR ( računi za usluge stručnog nadzora na izgradnji Doma za mlade i račun za uslugu izrade GSSS za novo groblje );</w:t>
      </w:r>
    </w:p>
    <w:p w14:paraId="12AA3456" w14:textId="77777777" w:rsidR="00422385" w:rsidRDefault="00000000" w:rsidP="00F20266">
      <w:pPr>
        <w:jc w:val="both"/>
      </w:pPr>
      <w:r>
        <w:t>b) prekoračenje do 180 dana – obveze u iznosu od 8.975,97 EUR (račun za obradu predmeta k.č.776/4 k.o. Fažana, račun za stručni nadzor za tematski park maslinika i račun za izrada dokumentacije za 1. fazu prometnice kč.br. 219/132 i dr.);</w:t>
      </w:r>
    </w:p>
    <w:p w14:paraId="26A671CE" w14:textId="77777777" w:rsidR="00422385" w:rsidRDefault="00000000" w:rsidP="00F20266">
      <w:pPr>
        <w:jc w:val="both"/>
      </w:pPr>
      <w:r>
        <w:t xml:space="preserve">c) prekoračenje do 360 dana – obveze u iznosu od 36.547,53 EUR (račun tvrtke Burić d.o.o., Info network j.d.o.o., </w:t>
      </w:r>
      <w:proofErr w:type="spellStart"/>
      <w:r>
        <w:t>Progressum</w:t>
      </w:r>
      <w:proofErr w:type="spellEnd"/>
      <w:r>
        <w:t xml:space="preserve"> </w:t>
      </w:r>
      <w:proofErr w:type="spellStart"/>
      <w:r>
        <w:t>constructum</w:t>
      </w:r>
      <w:proofErr w:type="spellEnd"/>
      <w:r>
        <w:t>, Novi urbanizam d.o.o. - navedene obveze su zbog neusklađenosti stanja ili neprihvaćanja dostavljenih računa (utvrđivanje stvarne obveze u tijeku i kompenzacije).</w:t>
      </w:r>
    </w:p>
    <w:p w14:paraId="5A68A5E7" w14:textId="77777777" w:rsidR="00422385" w:rsidRDefault="00000000" w:rsidP="00F20266">
      <w:pPr>
        <w:jc w:val="both"/>
      </w:pPr>
      <w:r>
        <w:t>Navedene dospjele obveze se usklađuju ili osporavaju zbog manjka u odrađenim uslugama, te većina je u tijeku s kompenzacijama.</w:t>
      </w:r>
    </w:p>
    <w:p w14:paraId="1C8E1464" w14:textId="77777777" w:rsidR="007D194D" w:rsidRDefault="007D194D" w:rsidP="00F20266">
      <w:pPr>
        <w:jc w:val="both"/>
      </w:pPr>
    </w:p>
    <w:p w14:paraId="50DB8596" w14:textId="77777777" w:rsidR="007D194D" w:rsidRDefault="007D194D" w:rsidP="00F20266">
      <w:pPr>
        <w:jc w:val="both"/>
      </w:pPr>
    </w:p>
    <w:p w14:paraId="00F5DCE5" w14:textId="77777777" w:rsidR="007D194D" w:rsidRDefault="007D194D" w:rsidP="00F20266">
      <w:pPr>
        <w:jc w:val="both"/>
      </w:pPr>
    </w:p>
    <w:p w14:paraId="5E44E911" w14:textId="77777777" w:rsidR="007D194D" w:rsidRDefault="007D194D" w:rsidP="00F20266">
      <w:pPr>
        <w:jc w:val="both"/>
      </w:pPr>
    </w:p>
    <w:p w14:paraId="19ECB13B" w14:textId="77777777" w:rsidR="007D194D" w:rsidRPr="00313859" w:rsidRDefault="007D194D" w:rsidP="007D194D">
      <w:pPr>
        <w:pStyle w:val="Odlomakpopisa"/>
        <w:shd w:val="clear" w:color="auto" w:fill="4472C4"/>
        <w:spacing w:line="240" w:lineRule="exact"/>
        <w:ind w:left="0"/>
        <w:jc w:val="both"/>
        <w:rPr>
          <w:b/>
          <w:bCs/>
          <w:color w:val="FFFFFF"/>
          <w:sz w:val="28"/>
          <w:szCs w:val="28"/>
        </w:rPr>
      </w:pPr>
    </w:p>
    <w:p w14:paraId="2857F429" w14:textId="77777777" w:rsidR="007D194D" w:rsidRPr="00313859" w:rsidRDefault="007D194D" w:rsidP="007D194D">
      <w:pPr>
        <w:pStyle w:val="Odlomakpopisa"/>
        <w:shd w:val="clear" w:color="auto" w:fill="4472C4"/>
        <w:spacing w:line="240" w:lineRule="exact"/>
        <w:ind w:left="0" w:firstLine="142"/>
        <w:jc w:val="both"/>
        <w:rPr>
          <w:b/>
          <w:bCs/>
          <w:color w:val="FFFFFF"/>
          <w:sz w:val="28"/>
          <w:szCs w:val="28"/>
        </w:rPr>
      </w:pPr>
      <w:bookmarkStart w:id="0" w:name="_Hlk180767243"/>
      <w:r w:rsidRPr="00313859">
        <w:rPr>
          <w:b/>
          <w:bCs/>
          <w:color w:val="FFFFFF"/>
          <w:sz w:val="28"/>
          <w:szCs w:val="28"/>
        </w:rPr>
        <w:t>POPIS UGOVORNIH OBVEZA I ODNOSA</w:t>
      </w:r>
    </w:p>
    <w:p w14:paraId="513E868F" w14:textId="77777777" w:rsidR="007D194D" w:rsidRPr="00313859" w:rsidRDefault="007D194D" w:rsidP="007D194D">
      <w:pPr>
        <w:pStyle w:val="Odlomakpopisa"/>
        <w:shd w:val="clear" w:color="auto" w:fill="4472C4"/>
        <w:spacing w:line="240" w:lineRule="exact"/>
        <w:ind w:left="0"/>
        <w:jc w:val="both"/>
        <w:rPr>
          <w:b/>
          <w:bCs/>
          <w:color w:val="FFFFFF"/>
          <w:sz w:val="28"/>
          <w:szCs w:val="28"/>
        </w:rPr>
      </w:pPr>
    </w:p>
    <w:p w14:paraId="66BD0898" w14:textId="77777777" w:rsidR="007D194D" w:rsidRDefault="007D194D" w:rsidP="007D194D">
      <w:pPr>
        <w:spacing w:after="0"/>
        <w:jc w:val="both"/>
      </w:pPr>
    </w:p>
    <w:p w14:paraId="7CFF9797" w14:textId="77777777" w:rsidR="007D194D" w:rsidRDefault="007D194D" w:rsidP="007D194D">
      <w:pPr>
        <w:spacing w:after="0"/>
        <w:jc w:val="both"/>
      </w:pPr>
    </w:p>
    <w:p w14:paraId="74677D07" w14:textId="7699190B" w:rsidR="007D194D" w:rsidRDefault="007D194D" w:rsidP="007D194D">
      <w:pPr>
        <w:spacing w:after="0"/>
        <w:jc w:val="both"/>
      </w:pPr>
      <w:r>
        <w:t xml:space="preserve">Općina Fažana je dana 04.12.2020.godine izdala neopozivo i bezuvjetno jamstvo, kojim pod istim uvjetima i na isti način kao glavni dužnik trgovačkom društvu Komunalac Fažana d.o.o., OIB: 35173387563, jamči plaćanje svih obveza Privrednoj banci Zagreb d.d. Zagreb, Radnička cesta 50, OIB: 02535697732, po Ugovoru o dugoročnom kreditu, broj Ugovora/partija: 5010761590, sklopljenog dana 04.12.2020., u iznosu od 185.811,94 EUR. </w:t>
      </w:r>
    </w:p>
    <w:p w14:paraId="1570684F" w14:textId="77777777" w:rsidR="007D194D" w:rsidRDefault="007D194D" w:rsidP="007D194D">
      <w:pPr>
        <w:spacing w:after="0"/>
        <w:jc w:val="both"/>
      </w:pPr>
    </w:p>
    <w:p w14:paraId="145E5267" w14:textId="77777777" w:rsidR="007D194D" w:rsidRDefault="007D194D" w:rsidP="007D194D">
      <w:pPr>
        <w:spacing w:after="0"/>
        <w:jc w:val="both"/>
      </w:pPr>
      <w:r>
        <w:t xml:space="preserve">Općina Fažana je dana 04.01.2021. godine potpisala Ugovor o dugoročnom kunskom kreditu (kao Korisnik kredita) sa Zagrebačkom bankom d.d., Zagreb, Trg bana Josipa Jelačića 10, OIB: </w:t>
      </w:r>
      <w:r>
        <w:lastRenderedPageBreak/>
        <w:t>92963223473, broj Ugovora 3277920056, broj partije: 5100580490, na iznos od 681.832,25 EUR, sa rokom otplate od 10 godina od isteka roka počeka.</w:t>
      </w:r>
    </w:p>
    <w:p w14:paraId="018BF9A3" w14:textId="77777777" w:rsidR="007D194D" w:rsidRDefault="007D194D" w:rsidP="007D194D">
      <w:pPr>
        <w:spacing w:after="0"/>
        <w:jc w:val="both"/>
      </w:pPr>
    </w:p>
    <w:p w14:paraId="4B1172C1" w14:textId="3D36FFC1" w:rsidR="007D194D" w:rsidRDefault="007D194D" w:rsidP="007D194D">
      <w:pPr>
        <w:spacing w:after="0"/>
        <w:jc w:val="both"/>
      </w:pPr>
      <w:r>
        <w:t xml:space="preserve">Općina Fažana je dana 15.10.2025. godine potpisala Ugovor o dugoročnom kreditu sa Istarskom kreditnom bankom Umag d.d., Umag, </w:t>
      </w:r>
      <w:proofErr w:type="spellStart"/>
      <w:r>
        <w:t>Murinska</w:t>
      </w:r>
      <w:proofErr w:type="spellEnd"/>
      <w:r>
        <w:t xml:space="preserve"> ulica – Via </w:t>
      </w:r>
      <w:proofErr w:type="spellStart"/>
      <w:r>
        <w:t>Morno</w:t>
      </w:r>
      <w:proofErr w:type="spellEnd"/>
      <w:r>
        <w:t xml:space="preserve"> 14</w:t>
      </w:r>
      <w:r w:rsidR="00EE1A2A">
        <w:t>, OIB: 65723536010, broj Ugovora 9232100853, na iznos od 2 milijuna EUR, sa rokom otplate 15 godina i počekom 2 godine.</w:t>
      </w:r>
    </w:p>
    <w:p w14:paraId="1CB09453" w14:textId="77777777" w:rsidR="00EE1A2A" w:rsidRDefault="00EE1A2A" w:rsidP="007D194D">
      <w:pPr>
        <w:spacing w:after="0"/>
        <w:jc w:val="both"/>
      </w:pPr>
    </w:p>
    <w:p w14:paraId="64482BF5" w14:textId="5A344FA7" w:rsidR="00EE1A2A" w:rsidRDefault="00EE1A2A" w:rsidP="00EE1A2A">
      <w:pPr>
        <w:spacing w:after="0"/>
        <w:jc w:val="both"/>
      </w:pPr>
      <w:r>
        <w:t xml:space="preserve">Navedeni poslovni događaji evidentirani su u </w:t>
      </w:r>
      <w:proofErr w:type="spellStart"/>
      <w:r>
        <w:t>izvanbilančnim</w:t>
      </w:r>
      <w:proofErr w:type="spellEnd"/>
      <w:r>
        <w:t xml:space="preserve">  zapisima glavne knjige Općine Fažana.</w:t>
      </w:r>
    </w:p>
    <w:p w14:paraId="08E56B0B" w14:textId="77777777" w:rsidR="00EE1A2A" w:rsidRDefault="00EE1A2A" w:rsidP="007D194D">
      <w:pPr>
        <w:spacing w:after="0"/>
        <w:jc w:val="both"/>
      </w:pPr>
    </w:p>
    <w:p w14:paraId="71F488E0" w14:textId="77777777" w:rsidR="007D194D" w:rsidRDefault="007D194D" w:rsidP="007D194D">
      <w:pPr>
        <w:spacing w:after="0"/>
        <w:jc w:val="both"/>
      </w:pPr>
      <w:r>
        <w:t>Popis ugovornih odnosa koji mogu postati obveza :</w:t>
      </w:r>
    </w:p>
    <w:bookmarkEnd w:id="0"/>
    <w:p w14:paraId="5F6DD49A" w14:textId="36FEF1F7" w:rsidR="007D194D" w:rsidRDefault="00EE1A2A" w:rsidP="00EE1A2A">
      <w:pPr>
        <w:ind w:left="-1134"/>
        <w:jc w:val="both"/>
      </w:pPr>
      <w:r w:rsidRPr="00EE1A2A">
        <w:rPr>
          <w:noProof/>
        </w:rPr>
        <w:drawing>
          <wp:inline distT="0" distB="0" distL="0" distR="0" wp14:anchorId="3C38068C" wp14:editId="3A92D61C">
            <wp:extent cx="7873465" cy="2598396"/>
            <wp:effectExtent l="0" t="0" r="0" b="0"/>
            <wp:docPr id="194376934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93556" cy="2638028"/>
                    </a:xfrm>
                    <a:prstGeom prst="rect">
                      <a:avLst/>
                    </a:prstGeom>
                    <a:noFill/>
                    <a:ln>
                      <a:noFill/>
                    </a:ln>
                  </pic:spPr>
                </pic:pic>
              </a:graphicData>
            </a:graphic>
          </wp:inline>
        </w:drawing>
      </w:r>
    </w:p>
    <w:p w14:paraId="387DBF37" w14:textId="77777777" w:rsidR="00EE1A2A" w:rsidRDefault="00EE1A2A" w:rsidP="00EE1A2A">
      <w:pPr>
        <w:ind w:left="-1134"/>
        <w:jc w:val="both"/>
      </w:pPr>
    </w:p>
    <w:p w14:paraId="7BB1865A" w14:textId="77777777" w:rsidR="00422385" w:rsidRDefault="00422385" w:rsidP="00F20266">
      <w:pPr>
        <w:jc w:val="both"/>
      </w:pPr>
    </w:p>
    <w:p w14:paraId="03A590ED" w14:textId="77777777" w:rsidR="00EE1A2A" w:rsidRDefault="00EE1A2A" w:rsidP="00F20266">
      <w:pPr>
        <w:jc w:val="both"/>
      </w:pPr>
    </w:p>
    <w:p w14:paraId="713A2DDB" w14:textId="77777777" w:rsidR="00EE1A2A" w:rsidRDefault="00EE1A2A" w:rsidP="00EE1A2A">
      <w:pPr>
        <w:spacing w:after="0"/>
        <w:ind w:left="-567"/>
        <w:jc w:val="both"/>
      </w:pPr>
      <w:r>
        <w:t>Popis ugovornih odnosa koji mogu postati imovina :</w:t>
      </w:r>
    </w:p>
    <w:p w14:paraId="0E2ABF3F" w14:textId="6497E050" w:rsidR="00EE1A2A" w:rsidRPr="00EE1A2A" w:rsidRDefault="00EE1A2A" w:rsidP="00EE1A2A">
      <w:pPr>
        <w:ind w:hanging="1134"/>
        <w:jc w:val="both"/>
      </w:pPr>
      <w:r w:rsidRPr="00EE1A2A">
        <w:rPr>
          <w:noProof/>
        </w:rPr>
        <w:lastRenderedPageBreak/>
        <w:drawing>
          <wp:inline distT="0" distB="0" distL="0" distR="0" wp14:anchorId="3F7FFAA4" wp14:editId="52396278">
            <wp:extent cx="7274974" cy="6198670"/>
            <wp:effectExtent l="0" t="0" r="2540" b="0"/>
            <wp:docPr id="6621164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20733" cy="6237659"/>
                    </a:xfrm>
                    <a:prstGeom prst="rect">
                      <a:avLst/>
                    </a:prstGeom>
                    <a:noFill/>
                    <a:ln>
                      <a:noFill/>
                    </a:ln>
                  </pic:spPr>
                </pic:pic>
              </a:graphicData>
            </a:graphic>
          </wp:inline>
        </w:drawing>
      </w:r>
    </w:p>
    <w:p w14:paraId="6EAB82F1" w14:textId="77777777" w:rsidR="00EE1A2A" w:rsidRDefault="00EE1A2A" w:rsidP="00EE1A2A">
      <w:pPr>
        <w:pStyle w:val="Odlomakpopisa"/>
        <w:spacing w:line="240" w:lineRule="exact"/>
        <w:ind w:left="-142"/>
        <w:jc w:val="both"/>
        <w:rPr>
          <w:b/>
          <w:bCs/>
        </w:rPr>
      </w:pPr>
    </w:p>
    <w:p w14:paraId="2EA53D8B" w14:textId="77777777" w:rsidR="00EE1A2A" w:rsidRDefault="00EE1A2A" w:rsidP="00EE1A2A">
      <w:pPr>
        <w:pStyle w:val="Odlomakpopisa"/>
        <w:spacing w:line="240" w:lineRule="exact"/>
        <w:ind w:left="-142"/>
        <w:jc w:val="both"/>
        <w:rPr>
          <w:b/>
          <w:bCs/>
        </w:rPr>
      </w:pPr>
    </w:p>
    <w:p w14:paraId="124CA554" w14:textId="77777777" w:rsidR="00EE1A2A" w:rsidRDefault="00EE1A2A" w:rsidP="00EE1A2A">
      <w:pPr>
        <w:pStyle w:val="Odlomakpopisa"/>
        <w:spacing w:line="240" w:lineRule="exact"/>
        <w:ind w:left="-142"/>
        <w:jc w:val="both"/>
        <w:rPr>
          <w:b/>
          <w:bCs/>
        </w:rPr>
      </w:pPr>
    </w:p>
    <w:p w14:paraId="453F3C8A" w14:textId="77777777" w:rsidR="00EE1A2A" w:rsidRDefault="00EE1A2A" w:rsidP="00EE1A2A">
      <w:pPr>
        <w:pStyle w:val="Odlomakpopisa"/>
        <w:spacing w:line="240" w:lineRule="exact"/>
        <w:ind w:left="-142"/>
        <w:jc w:val="both"/>
        <w:rPr>
          <w:b/>
          <w:bCs/>
        </w:rPr>
      </w:pPr>
    </w:p>
    <w:p w14:paraId="3FBE8743" w14:textId="77777777" w:rsidR="00EE1A2A" w:rsidRDefault="00EE1A2A" w:rsidP="00EE1A2A">
      <w:pPr>
        <w:pStyle w:val="Odlomakpopisa"/>
        <w:spacing w:line="240" w:lineRule="exact"/>
        <w:ind w:left="-142"/>
        <w:jc w:val="both"/>
        <w:rPr>
          <w:b/>
          <w:bCs/>
        </w:rPr>
      </w:pPr>
    </w:p>
    <w:p w14:paraId="47996838" w14:textId="77777777" w:rsidR="00EE1A2A" w:rsidRDefault="00EE1A2A" w:rsidP="00EE1A2A">
      <w:pPr>
        <w:pStyle w:val="Odlomakpopisa"/>
        <w:spacing w:line="240" w:lineRule="exact"/>
        <w:ind w:left="-142"/>
        <w:jc w:val="both"/>
        <w:rPr>
          <w:b/>
          <w:bCs/>
        </w:rPr>
      </w:pPr>
    </w:p>
    <w:p w14:paraId="2A59A953" w14:textId="77777777" w:rsidR="00EE1A2A" w:rsidRDefault="00EE1A2A" w:rsidP="00EE1A2A">
      <w:pPr>
        <w:pStyle w:val="Odlomakpopisa"/>
        <w:spacing w:line="240" w:lineRule="exact"/>
        <w:ind w:left="-142"/>
        <w:jc w:val="both"/>
        <w:rPr>
          <w:b/>
          <w:bCs/>
        </w:rPr>
      </w:pPr>
    </w:p>
    <w:p w14:paraId="3C4684C0" w14:textId="77777777" w:rsidR="00EE1A2A" w:rsidRDefault="00EE1A2A" w:rsidP="00EE1A2A">
      <w:pPr>
        <w:pStyle w:val="Odlomakpopisa"/>
        <w:spacing w:line="240" w:lineRule="exact"/>
        <w:ind w:left="-142"/>
        <w:jc w:val="both"/>
        <w:rPr>
          <w:b/>
          <w:bCs/>
        </w:rPr>
      </w:pPr>
    </w:p>
    <w:p w14:paraId="0383127E" w14:textId="77777777" w:rsidR="00EE1A2A" w:rsidRDefault="00EE1A2A" w:rsidP="00EE1A2A">
      <w:pPr>
        <w:pStyle w:val="Odlomakpopisa"/>
        <w:spacing w:line="240" w:lineRule="exact"/>
        <w:ind w:left="-142"/>
        <w:jc w:val="both"/>
        <w:rPr>
          <w:b/>
          <w:bCs/>
        </w:rPr>
      </w:pPr>
    </w:p>
    <w:p w14:paraId="18487E4A" w14:textId="77777777" w:rsidR="00EE1A2A" w:rsidRDefault="00EE1A2A" w:rsidP="00EE1A2A">
      <w:pPr>
        <w:pStyle w:val="Odlomakpopisa"/>
        <w:spacing w:line="240" w:lineRule="exact"/>
        <w:ind w:left="-142"/>
        <w:jc w:val="both"/>
        <w:rPr>
          <w:b/>
          <w:bCs/>
        </w:rPr>
      </w:pPr>
    </w:p>
    <w:p w14:paraId="14105B0F" w14:textId="77777777" w:rsidR="00EE1A2A" w:rsidRDefault="00EE1A2A" w:rsidP="00EE1A2A">
      <w:pPr>
        <w:pStyle w:val="Odlomakpopisa"/>
        <w:spacing w:line="240" w:lineRule="exact"/>
        <w:ind w:left="-142"/>
        <w:jc w:val="both"/>
        <w:rPr>
          <w:b/>
          <w:bCs/>
        </w:rPr>
      </w:pPr>
    </w:p>
    <w:p w14:paraId="6467C68A" w14:textId="77777777" w:rsidR="00EE1A2A" w:rsidRDefault="00EE1A2A" w:rsidP="00EE1A2A">
      <w:pPr>
        <w:pStyle w:val="Odlomakpopisa"/>
        <w:spacing w:line="240" w:lineRule="exact"/>
        <w:ind w:left="-142"/>
        <w:jc w:val="both"/>
        <w:rPr>
          <w:b/>
          <w:bCs/>
        </w:rPr>
      </w:pPr>
    </w:p>
    <w:p w14:paraId="1E829294" w14:textId="77777777" w:rsidR="00EE1A2A" w:rsidRDefault="00EE1A2A" w:rsidP="00EE1A2A">
      <w:pPr>
        <w:pStyle w:val="Odlomakpopisa"/>
        <w:spacing w:line="240" w:lineRule="exact"/>
        <w:ind w:left="-142"/>
        <w:jc w:val="both"/>
        <w:rPr>
          <w:b/>
          <w:bCs/>
        </w:rPr>
      </w:pPr>
    </w:p>
    <w:p w14:paraId="6DDAEB28" w14:textId="77777777" w:rsidR="00EE1A2A" w:rsidRDefault="00EE1A2A" w:rsidP="00EE1A2A">
      <w:pPr>
        <w:pStyle w:val="Odlomakpopisa"/>
        <w:spacing w:line="240" w:lineRule="exact"/>
        <w:ind w:left="-142"/>
        <w:jc w:val="both"/>
        <w:rPr>
          <w:b/>
          <w:bCs/>
        </w:rPr>
      </w:pPr>
    </w:p>
    <w:p w14:paraId="44CB44CC" w14:textId="008AD0D9" w:rsidR="00EE1A2A" w:rsidRPr="00E700E0" w:rsidRDefault="00EE1A2A" w:rsidP="00EE1A2A">
      <w:pPr>
        <w:pStyle w:val="Odlomakpopisa"/>
        <w:spacing w:line="240" w:lineRule="exact"/>
        <w:ind w:left="-142"/>
        <w:jc w:val="both"/>
      </w:pPr>
      <w:r w:rsidRPr="00E700E0">
        <w:t>Na dan 31.</w:t>
      </w:r>
      <w:r>
        <w:t>12</w:t>
      </w:r>
      <w:r w:rsidRPr="00E700E0">
        <w:t>.202</w:t>
      </w:r>
      <w:r>
        <w:t>5</w:t>
      </w:r>
      <w:r w:rsidRPr="00E700E0">
        <w:t xml:space="preserve">. godine Općina Fažana ima u tijeku </w:t>
      </w:r>
      <w:r>
        <w:t>29</w:t>
      </w:r>
      <w:r w:rsidRPr="00E700E0">
        <w:t xml:space="preserve"> aktivnih sudskih i upravnih postupaka, niže navedenih slijedom:</w:t>
      </w:r>
    </w:p>
    <w:p w14:paraId="04295F7B" w14:textId="16B99C13" w:rsidR="00EE1A2A" w:rsidRDefault="00EE1A2A" w:rsidP="00EE1A2A">
      <w:pPr>
        <w:ind w:hanging="1134"/>
        <w:jc w:val="both"/>
      </w:pPr>
      <w:r w:rsidRPr="00EE1A2A">
        <w:rPr>
          <w:noProof/>
        </w:rPr>
        <w:lastRenderedPageBreak/>
        <w:drawing>
          <wp:inline distT="0" distB="0" distL="0" distR="0" wp14:anchorId="6FDB9890" wp14:editId="7F8A42D7">
            <wp:extent cx="7218680" cy="8566484"/>
            <wp:effectExtent l="0" t="0" r="1270" b="6350"/>
            <wp:docPr id="141309372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3415" cy="8583970"/>
                    </a:xfrm>
                    <a:prstGeom prst="rect">
                      <a:avLst/>
                    </a:prstGeom>
                    <a:noFill/>
                    <a:ln>
                      <a:noFill/>
                    </a:ln>
                  </pic:spPr>
                </pic:pic>
              </a:graphicData>
            </a:graphic>
          </wp:inline>
        </w:drawing>
      </w:r>
    </w:p>
    <w:p w14:paraId="46E4525B" w14:textId="092F5643" w:rsidR="00EE1A2A" w:rsidRDefault="00EE1A2A" w:rsidP="00EE1A2A">
      <w:pPr>
        <w:ind w:hanging="1134"/>
        <w:jc w:val="both"/>
      </w:pPr>
    </w:p>
    <w:p w14:paraId="76C905AB" w14:textId="5A000F72" w:rsidR="00EE1A2A" w:rsidRPr="00246D02" w:rsidRDefault="00EE1A2A" w:rsidP="00EE1A2A">
      <w:pPr>
        <w:pStyle w:val="Default"/>
        <w:rPr>
          <w:sz w:val="22"/>
          <w:szCs w:val="22"/>
        </w:rPr>
      </w:pPr>
      <w:r w:rsidRPr="00246D02">
        <w:rPr>
          <w:sz w:val="22"/>
          <w:szCs w:val="22"/>
        </w:rPr>
        <w:lastRenderedPageBreak/>
        <w:t xml:space="preserve">U Fažani, </w:t>
      </w:r>
      <w:r>
        <w:rPr>
          <w:sz w:val="22"/>
          <w:szCs w:val="22"/>
        </w:rPr>
        <w:t>1</w:t>
      </w:r>
      <w:r w:rsidR="004B395F">
        <w:rPr>
          <w:sz w:val="22"/>
          <w:szCs w:val="22"/>
        </w:rPr>
        <w:t>6</w:t>
      </w:r>
      <w:r w:rsidRPr="00246D02">
        <w:rPr>
          <w:sz w:val="22"/>
          <w:szCs w:val="22"/>
        </w:rPr>
        <w:t>.</w:t>
      </w:r>
      <w:r>
        <w:rPr>
          <w:sz w:val="22"/>
          <w:szCs w:val="22"/>
        </w:rPr>
        <w:t>02</w:t>
      </w:r>
      <w:r w:rsidRPr="00246D02">
        <w:rPr>
          <w:sz w:val="22"/>
          <w:szCs w:val="22"/>
        </w:rPr>
        <w:t>.202</w:t>
      </w:r>
      <w:r w:rsidR="004B395F">
        <w:rPr>
          <w:sz w:val="22"/>
          <w:szCs w:val="22"/>
        </w:rPr>
        <w:t>6</w:t>
      </w:r>
      <w:r w:rsidRPr="00246D02">
        <w:rPr>
          <w:sz w:val="22"/>
          <w:szCs w:val="22"/>
        </w:rPr>
        <w:t>.</w:t>
      </w:r>
    </w:p>
    <w:p w14:paraId="18EB70F4" w14:textId="77777777" w:rsidR="00EE1A2A" w:rsidRPr="00246D02" w:rsidRDefault="00EE1A2A" w:rsidP="00EE1A2A">
      <w:pPr>
        <w:pStyle w:val="Default"/>
        <w:rPr>
          <w:sz w:val="22"/>
          <w:szCs w:val="22"/>
        </w:rPr>
      </w:pPr>
    </w:p>
    <w:p w14:paraId="1B58EFA0" w14:textId="77777777" w:rsidR="00EE1A2A" w:rsidRPr="00246D02" w:rsidRDefault="00EE1A2A" w:rsidP="00EE1A2A">
      <w:pPr>
        <w:pStyle w:val="Default"/>
        <w:ind w:firstLine="708"/>
        <w:rPr>
          <w:sz w:val="22"/>
          <w:szCs w:val="22"/>
        </w:rPr>
      </w:pPr>
      <w:r w:rsidRPr="00246D02">
        <w:rPr>
          <w:sz w:val="22"/>
          <w:szCs w:val="22"/>
        </w:rPr>
        <w:tab/>
      </w:r>
      <w:r w:rsidRPr="00246D02">
        <w:rPr>
          <w:sz w:val="22"/>
          <w:szCs w:val="22"/>
        </w:rPr>
        <w:tab/>
      </w:r>
      <w:r w:rsidRPr="00246D02">
        <w:rPr>
          <w:sz w:val="22"/>
          <w:szCs w:val="22"/>
        </w:rPr>
        <w:tab/>
      </w:r>
      <w:r w:rsidRPr="00246D02">
        <w:rPr>
          <w:sz w:val="22"/>
          <w:szCs w:val="22"/>
        </w:rPr>
        <w:tab/>
      </w:r>
      <w:r w:rsidRPr="00246D02">
        <w:rPr>
          <w:sz w:val="22"/>
          <w:szCs w:val="22"/>
        </w:rPr>
        <w:tab/>
      </w:r>
      <w:r w:rsidRPr="00246D02">
        <w:rPr>
          <w:sz w:val="22"/>
          <w:szCs w:val="22"/>
        </w:rPr>
        <w:tab/>
      </w:r>
      <w:r w:rsidRPr="00246D02">
        <w:rPr>
          <w:sz w:val="22"/>
          <w:szCs w:val="22"/>
        </w:rPr>
        <w:tab/>
      </w:r>
      <w:r w:rsidRPr="00246D02">
        <w:rPr>
          <w:sz w:val="22"/>
          <w:szCs w:val="22"/>
        </w:rPr>
        <w:tab/>
        <w:t>OPĆINSKI NAČELNIK</w:t>
      </w:r>
    </w:p>
    <w:p w14:paraId="3DED7C55" w14:textId="77777777" w:rsidR="00EE1A2A" w:rsidRPr="00246D02" w:rsidRDefault="00EE1A2A" w:rsidP="00EE1A2A">
      <w:pPr>
        <w:pStyle w:val="Default"/>
        <w:ind w:firstLine="708"/>
        <w:rPr>
          <w:sz w:val="22"/>
          <w:szCs w:val="22"/>
        </w:rPr>
      </w:pPr>
      <w:r w:rsidRPr="00246D02">
        <w:rPr>
          <w:sz w:val="22"/>
          <w:szCs w:val="22"/>
        </w:rPr>
        <w:tab/>
      </w:r>
      <w:r w:rsidRPr="00246D02">
        <w:rPr>
          <w:sz w:val="22"/>
          <w:szCs w:val="22"/>
        </w:rPr>
        <w:tab/>
      </w:r>
      <w:r w:rsidRPr="00246D02">
        <w:rPr>
          <w:sz w:val="22"/>
          <w:szCs w:val="22"/>
        </w:rPr>
        <w:tab/>
      </w:r>
      <w:r w:rsidRPr="00246D02">
        <w:rPr>
          <w:sz w:val="22"/>
          <w:szCs w:val="22"/>
        </w:rPr>
        <w:tab/>
      </w:r>
      <w:r w:rsidRPr="00246D02">
        <w:rPr>
          <w:sz w:val="22"/>
          <w:szCs w:val="22"/>
        </w:rPr>
        <w:tab/>
      </w:r>
      <w:r w:rsidRPr="00246D02">
        <w:rPr>
          <w:sz w:val="22"/>
          <w:szCs w:val="22"/>
        </w:rPr>
        <w:tab/>
      </w:r>
      <w:r w:rsidRPr="00246D02">
        <w:rPr>
          <w:sz w:val="22"/>
          <w:szCs w:val="22"/>
        </w:rPr>
        <w:tab/>
      </w:r>
      <w:r w:rsidRPr="00246D02">
        <w:rPr>
          <w:sz w:val="22"/>
          <w:szCs w:val="22"/>
        </w:rPr>
        <w:tab/>
        <w:t>RADOMIR KORAĆ</w:t>
      </w:r>
      <w:r w:rsidRPr="00246D02">
        <w:rPr>
          <w:sz w:val="22"/>
          <w:szCs w:val="22"/>
        </w:rPr>
        <w:tab/>
      </w:r>
      <w:r w:rsidRPr="00246D02">
        <w:rPr>
          <w:sz w:val="22"/>
          <w:szCs w:val="22"/>
        </w:rPr>
        <w:tab/>
      </w:r>
      <w:r w:rsidRPr="00246D02">
        <w:rPr>
          <w:sz w:val="22"/>
          <w:szCs w:val="22"/>
        </w:rPr>
        <w:tab/>
      </w:r>
      <w:r w:rsidRPr="00246D02">
        <w:rPr>
          <w:sz w:val="22"/>
          <w:szCs w:val="22"/>
        </w:rPr>
        <w:tab/>
      </w:r>
    </w:p>
    <w:p w14:paraId="1B2BB4EF" w14:textId="77777777" w:rsidR="00EE1A2A" w:rsidRDefault="00EE1A2A" w:rsidP="00EE1A2A">
      <w:pPr>
        <w:ind w:hanging="1134"/>
        <w:jc w:val="both"/>
      </w:pPr>
    </w:p>
    <w:sectPr w:rsidR="00EE1A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2B79"/>
    <w:multiLevelType w:val="hybridMultilevel"/>
    <w:tmpl w:val="501C91BC"/>
    <w:lvl w:ilvl="0" w:tplc="041A000B">
      <w:start w:val="1"/>
      <w:numFmt w:val="bullet"/>
      <w:lvlText w:val=""/>
      <w:lvlJc w:val="left"/>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CBF2237"/>
    <w:multiLevelType w:val="hybridMultilevel"/>
    <w:tmpl w:val="9BD4A430"/>
    <w:name w:val="disc"/>
    <w:lvl w:ilvl="0" w:tplc="37E81286">
      <w:start w:val="1"/>
      <w:numFmt w:val="bullet"/>
      <w:lvlText w:val="•"/>
      <w:lvlJc w:val="left"/>
      <w:pPr>
        <w:ind w:left="720" w:hanging="360"/>
      </w:pPr>
    </w:lvl>
    <w:lvl w:ilvl="1" w:tplc="F6A4AEF8">
      <w:start w:val="1"/>
      <w:numFmt w:val="bullet"/>
      <w:lvlText w:val="•"/>
      <w:lvlJc w:val="left"/>
      <w:pPr>
        <w:ind w:left="1440" w:hanging="360"/>
      </w:pPr>
    </w:lvl>
    <w:lvl w:ilvl="2" w:tplc="EB048FF0">
      <w:start w:val="1"/>
      <w:numFmt w:val="bullet"/>
      <w:lvlText w:val="•"/>
      <w:lvlJc w:val="left"/>
      <w:pPr>
        <w:ind w:left="2160" w:hanging="360"/>
      </w:pPr>
    </w:lvl>
    <w:lvl w:ilvl="3" w:tplc="5CF80CC6">
      <w:start w:val="1"/>
      <w:numFmt w:val="bullet"/>
      <w:lvlText w:val="•"/>
      <w:lvlJc w:val="left"/>
      <w:pPr>
        <w:ind w:left="2880" w:hanging="360"/>
      </w:pPr>
    </w:lvl>
    <w:lvl w:ilvl="4" w:tplc="593A6644">
      <w:start w:val="1"/>
      <w:numFmt w:val="bullet"/>
      <w:lvlText w:val="•"/>
      <w:lvlJc w:val="left"/>
      <w:pPr>
        <w:ind w:left="3600" w:hanging="360"/>
      </w:pPr>
    </w:lvl>
    <w:lvl w:ilvl="5" w:tplc="D2DE2180">
      <w:start w:val="1"/>
      <w:numFmt w:val="bullet"/>
      <w:lvlText w:val="•"/>
      <w:lvlJc w:val="left"/>
      <w:pPr>
        <w:ind w:left="4320" w:hanging="360"/>
      </w:pPr>
    </w:lvl>
    <w:lvl w:ilvl="6" w:tplc="B198910C">
      <w:start w:val="1"/>
      <w:numFmt w:val="bullet"/>
      <w:lvlText w:val="•"/>
      <w:lvlJc w:val="left"/>
      <w:pPr>
        <w:ind w:left="5040" w:hanging="360"/>
      </w:pPr>
    </w:lvl>
    <w:lvl w:ilvl="7" w:tplc="ED44FF4A">
      <w:start w:val="1"/>
      <w:numFmt w:val="bullet"/>
      <w:lvlText w:val="•"/>
      <w:lvlJc w:val="left"/>
      <w:pPr>
        <w:ind w:left="5760" w:hanging="360"/>
      </w:pPr>
    </w:lvl>
    <w:lvl w:ilvl="8" w:tplc="5B1493F8">
      <w:start w:val="1"/>
      <w:numFmt w:val="bullet"/>
      <w:lvlText w:val="•"/>
      <w:lvlJc w:val="left"/>
      <w:pPr>
        <w:ind w:left="6480" w:hanging="360"/>
      </w:pPr>
    </w:lvl>
  </w:abstractNum>
  <w:num w:numId="1" w16cid:durableId="157383303">
    <w:abstractNumId w:val="1"/>
    <w:lvlOverride w:ilvl="0">
      <w:startOverride w:val="1"/>
    </w:lvlOverride>
  </w:num>
  <w:num w:numId="2" w16cid:durableId="196432656">
    <w:abstractNumId w:val="1"/>
    <w:lvlOverride w:ilvl="0">
      <w:startOverride w:val="1"/>
    </w:lvlOverride>
  </w:num>
  <w:num w:numId="3" w16cid:durableId="1036347379">
    <w:abstractNumId w:val="1"/>
    <w:lvlOverride w:ilvl="0">
      <w:startOverride w:val="1"/>
    </w:lvlOverride>
  </w:num>
  <w:num w:numId="4" w16cid:durableId="1947614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85"/>
    <w:rsid w:val="000A0517"/>
    <w:rsid w:val="0011721A"/>
    <w:rsid w:val="00137D08"/>
    <w:rsid w:val="00153826"/>
    <w:rsid w:val="002062DF"/>
    <w:rsid w:val="002C76EC"/>
    <w:rsid w:val="00422385"/>
    <w:rsid w:val="004B395F"/>
    <w:rsid w:val="00530BB0"/>
    <w:rsid w:val="00607605"/>
    <w:rsid w:val="00706A59"/>
    <w:rsid w:val="00734882"/>
    <w:rsid w:val="007C1F1E"/>
    <w:rsid w:val="007D194D"/>
    <w:rsid w:val="008C258B"/>
    <w:rsid w:val="00984F1B"/>
    <w:rsid w:val="00A46CAE"/>
    <w:rsid w:val="00A57CFF"/>
    <w:rsid w:val="00A93BA9"/>
    <w:rsid w:val="00B25619"/>
    <w:rsid w:val="00B721CA"/>
    <w:rsid w:val="00CE1D46"/>
    <w:rsid w:val="00EE1A2A"/>
    <w:rsid w:val="00F202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9BB9"/>
  <w15:docId w15:val="{8801E969-D23C-4BA3-A046-228209FB6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 w:type="paragraph" w:customStyle="1" w:styleId="Default">
    <w:name w:val="Default"/>
    <w:rsid w:val="00EE1A2A"/>
    <w:pPr>
      <w:autoSpaceDE w:val="0"/>
      <w:autoSpaceDN w:val="0"/>
      <w:adjustRightInd w:val="0"/>
      <w:spacing w:after="0" w:line="240" w:lineRule="auto"/>
    </w:pPr>
    <w:rPr>
      <w:rFonts w:eastAsia="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4216</TotalTime>
  <Pages>33</Pages>
  <Words>8198</Words>
  <Characters>46730</Characters>
  <Application>Microsoft Office Word</Application>
  <DocSecurity>0</DocSecurity>
  <Lines>389</Lines>
  <Paragraphs>109</Paragraphs>
  <ScaleCrop>false</ScaleCrop>
  <Company/>
  <LinksUpToDate>false</LinksUpToDate>
  <CharactersWithSpaces>54819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Anjoš</dc:creator>
  <cp:lastModifiedBy>Admin Fažana</cp:lastModifiedBy>
  <cp:revision>11</cp:revision>
  <cp:lastPrinted>2026-02-16T16:10:00Z</cp:lastPrinted>
  <dcterms:created xsi:type="dcterms:W3CDTF">2026-02-16T16:14:00Z</dcterms:created>
  <dcterms:modified xsi:type="dcterms:W3CDTF">2026-03-12T08:40:00Z</dcterms:modified>
</cp:coreProperties>
</file>